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3E" w:rsidRPr="003831C6" w:rsidRDefault="00A20634" w:rsidP="00A20634">
      <w:pPr>
        <w:jc w:val="center"/>
        <w:rPr>
          <w:b/>
        </w:rPr>
      </w:pPr>
      <w:r>
        <w:rPr>
          <w:b/>
        </w:rPr>
        <w:t>Information nach REACH, Artikel 33 in Anlehnung an das Format des</w:t>
      </w:r>
      <w:r w:rsidR="00A914B8">
        <w:rPr>
          <w:b/>
        </w:rPr>
        <w:br/>
      </w:r>
      <w:r>
        <w:rPr>
          <w:b/>
        </w:rPr>
        <w:t>Sicherheitsdatenblatt</w:t>
      </w:r>
      <w:r w:rsidR="003629E1">
        <w:rPr>
          <w:b/>
        </w:rPr>
        <w:t xml:space="preserve"> gemäß 1907/2006 REACH</w:t>
      </w:r>
    </w:p>
    <w:p w:rsidR="001965C0" w:rsidRPr="000677D5" w:rsidRDefault="00035E3E" w:rsidP="00035E3E">
      <w:pPr>
        <w:pStyle w:val="Listenabsatz"/>
        <w:numPr>
          <w:ilvl w:val="0"/>
          <w:numId w:val="1"/>
        </w:numPr>
        <w:rPr>
          <w:b/>
          <w:sz w:val="20"/>
          <w:szCs w:val="20"/>
        </w:rPr>
      </w:pPr>
      <w:r w:rsidRPr="000677D5">
        <w:rPr>
          <w:b/>
          <w:sz w:val="20"/>
          <w:szCs w:val="20"/>
        </w:rPr>
        <w:t>Allgemeines</w:t>
      </w:r>
    </w:p>
    <w:p w:rsidR="005A70F0" w:rsidRPr="000677D5" w:rsidRDefault="00A20634" w:rsidP="00E12417">
      <w:pPr>
        <w:rPr>
          <w:b/>
          <w:color w:val="auto"/>
          <w:sz w:val="20"/>
          <w:szCs w:val="20"/>
        </w:rPr>
      </w:pPr>
      <w:r w:rsidRPr="000677D5">
        <w:rPr>
          <w:b/>
          <w:color w:val="auto"/>
          <w:sz w:val="20"/>
          <w:szCs w:val="20"/>
        </w:rPr>
        <w:t>Ge</w:t>
      </w:r>
      <w:r w:rsidR="00611E05" w:rsidRPr="000677D5">
        <w:rPr>
          <w:b/>
          <w:color w:val="auto"/>
          <w:sz w:val="20"/>
          <w:szCs w:val="20"/>
        </w:rPr>
        <w:t xml:space="preserve">mäß der REACH-Verordnung ist es </w:t>
      </w:r>
      <w:r w:rsidRPr="000677D5">
        <w:rPr>
          <w:b/>
          <w:color w:val="auto"/>
          <w:sz w:val="20"/>
          <w:szCs w:val="20"/>
        </w:rPr>
        <w:t>nich</w:t>
      </w:r>
      <w:r w:rsidR="00611E05" w:rsidRPr="000677D5">
        <w:rPr>
          <w:b/>
          <w:color w:val="auto"/>
          <w:sz w:val="20"/>
          <w:szCs w:val="20"/>
        </w:rPr>
        <w:t>t erforderlich für ein Erzeugnis, und solche sind die</w:t>
      </w:r>
      <w:r w:rsidRPr="000677D5">
        <w:rPr>
          <w:b/>
          <w:color w:val="auto"/>
          <w:sz w:val="20"/>
          <w:szCs w:val="20"/>
        </w:rPr>
        <w:t xml:space="preserve"> hier beschrieben Produkt</w:t>
      </w:r>
      <w:r w:rsidR="00611E05" w:rsidRPr="000677D5">
        <w:rPr>
          <w:b/>
          <w:color w:val="auto"/>
          <w:sz w:val="20"/>
          <w:szCs w:val="20"/>
        </w:rPr>
        <w:t>e</w:t>
      </w:r>
      <w:r w:rsidRPr="000677D5">
        <w:rPr>
          <w:b/>
          <w:color w:val="auto"/>
          <w:sz w:val="20"/>
          <w:szCs w:val="20"/>
        </w:rPr>
        <w:t xml:space="preserve">, ein Sicherheitsdatenblatt zu erstellen. Von daher </w:t>
      </w:r>
      <w:r w:rsidR="00A914B8" w:rsidRPr="000677D5">
        <w:rPr>
          <w:b/>
          <w:color w:val="auto"/>
          <w:sz w:val="20"/>
          <w:szCs w:val="20"/>
        </w:rPr>
        <w:t>ist dies eine freiwillige Produkt-</w:t>
      </w:r>
      <w:r w:rsidR="003629E1" w:rsidRPr="000677D5">
        <w:rPr>
          <w:b/>
          <w:color w:val="auto"/>
          <w:sz w:val="20"/>
          <w:szCs w:val="20"/>
        </w:rPr>
        <w:t>I</w:t>
      </w:r>
      <w:r w:rsidRPr="000677D5">
        <w:rPr>
          <w:b/>
          <w:color w:val="auto"/>
          <w:sz w:val="20"/>
          <w:szCs w:val="20"/>
        </w:rPr>
        <w:t>nformation in Anlehnung an das Sicherheitsdatenblatt.</w:t>
      </w:r>
    </w:p>
    <w:p w:rsidR="009410F9" w:rsidRPr="000677D5" w:rsidRDefault="009410F9" w:rsidP="00035E3E">
      <w:pPr>
        <w:rPr>
          <w:color w:val="auto"/>
          <w:sz w:val="20"/>
          <w:szCs w:val="20"/>
        </w:rPr>
      </w:pPr>
    </w:p>
    <w:p w:rsidR="00035E3E" w:rsidRPr="000677D5" w:rsidRDefault="00035E3E" w:rsidP="00035E3E">
      <w:pPr>
        <w:pStyle w:val="Listenabsatz"/>
        <w:numPr>
          <w:ilvl w:val="0"/>
          <w:numId w:val="1"/>
        </w:numPr>
        <w:rPr>
          <w:b/>
          <w:sz w:val="20"/>
          <w:szCs w:val="20"/>
        </w:rPr>
      </w:pPr>
      <w:r w:rsidRPr="000677D5">
        <w:rPr>
          <w:b/>
          <w:sz w:val="20"/>
          <w:szCs w:val="20"/>
        </w:rPr>
        <w:t>Bezeichnung des Erzeugnisses und des Unternehmens</w:t>
      </w:r>
    </w:p>
    <w:p w:rsidR="00035E3E" w:rsidRPr="000677D5" w:rsidRDefault="00035E3E" w:rsidP="00035E3E">
      <w:pPr>
        <w:pStyle w:val="Listenabsatz"/>
        <w:rPr>
          <w:sz w:val="20"/>
          <w:szCs w:val="20"/>
        </w:rPr>
      </w:pPr>
    </w:p>
    <w:p w:rsidR="00035E3E" w:rsidRPr="000677D5" w:rsidRDefault="00035E3E" w:rsidP="00035E3E">
      <w:pPr>
        <w:pStyle w:val="Listenabsatz"/>
        <w:numPr>
          <w:ilvl w:val="1"/>
          <w:numId w:val="1"/>
        </w:numPr>
        <w:ind w:left="851" w:hanging="491"/>
        <w:rPr>
          <w:sz w:val="20"/>
          <w:szCs w:val="20"/>
          <w:u w:val="single"/>
        </w:rPr>
      </w:pPr>
      <w:r w:rsidRPr="000677D5">
        <w:rPr>
          <w:sz w:val="20"/>
          <w:szCs w:val="20"/>
          <w:u w:val="single"/>
        </w:rPr>
        <w:t>Produktidentifikation</w:t>
      </w:r>
    </w:p>
    <w:p w:rsidR="00035E3E" w:rsidRPr="000677D5" w:rsidRDefault="00035E3E" w:rsidP="00EF1A03">
      <w:pPr>
        <w:tabs>
          <w:tab w:val="left" w:pos="851"/>
          <w:tab w:val="left" w:pos="2977"/>
        </w:tabs>
        <w:spacing w:after="0"/>
        <w:ind w:left="851" w:hanging="851"/>
        <w:rPr>
          <w:sz w:val="20"/>
          <w:szCs w:val="20"/>
        </w:rPr>
      </w:pPr>
      <w:r w:rsidRPr="000677D5">
        <w:rPr>
          <w:sz w:val="20"/>
          <w:szCs w:val="20"/>
        </w:rPr>
        <w:tab/>
        <w:t>Produktname</w:t>
      </w:r>
      <w:r w:rsidR="003629E1" w:rsidRPr="000677D5">
        <w:rPr>
          <w:sz w:val="20"/>
          <w:szCs w:val="20"/>
        </w:rPr>
        <w:t>n</w:t>
      </w:r>
      <w:r w:rsidRPr="000677D5">
        <w:rPr>
          <w:sz w:val="20"/>
          <w:szCs w:val="20"/>
        </w:rPr>
        <w:t>:</w:t>
      </w:r>
      <w:r w:rsidRPr="000677D5">
        <w:rPr>
          <w:sz w:val="20"/>
          <w:szCs w:val="20"/>
        </w:rPr>
        <w:tab/>
      </w:r>
      <w:r w:rsidR="003629E1" w:rsidRPr="000677D5">
        <w:rPr>
          <w:sz w:val="20"/>
          <w:szCs w:val="20"/>
        </w:rPr>
        <w:t>EPS Modellschä</w:t>
      </w:r>
      <w:r w:rsidR="009424EE" w:rsidRPr="000677D5">
        <w:rPr>
          <w:sz w:val="20"/>
          <w:szCs w:val="20"/>
        </w:rPr>
        <w:t>um</w:t>
      </w:r>
      <w:r w:rsidR="003629E1" w:rsidRPr="000677D5">
        <w:rPr>
          <w:sz w:val="20"/>
          <w:szCs w:val="20"/>
        </w:rPr>
        <w:t>e</w:t>
      </w:r>
      <w:r w:rsidR="009424EE" w:rsidRPr="000677D5">
        <w:rPr>
          <w:sz w:val="20"/>
          <w:szCs w:val="20"/>
        </w:rPr>
        <w:t xml:space="preserve"> VFG 18 und VFG 24</w:t>
      </w:r>
      <w:r w:rsidR="003629E1" w:rsidRPr="000677D5">
        <w:rPr>
          <w:sz w:val="20"/>
          <w:szCs w:val="20"/>
        </w:rPr>
        <w:t xml:space="preserve"> sowie</w:t>
      </w:r>
    </w:p>
    <w:p w:rsidR="003629E1" w:rsidRPr="000677D5" w:rsidRDefault="003629E1" w:rsidP="00EF1A03">
      <w:pPr>
        <w:tabs>
          <w:tab w:val="left" w:pos="851"/>
          <w:tab w:val="left" w:pos="2977"/>
        </w:tabs>
        <w:spacing w:after="0"/>
        <w:ind w:left="851" w:hanging="851"/>
        <w:rPr>
          <w:sz w:val="20"/>
          <w:szCs w:val="20"/>
          <w:lang w:val="en-US"/>
        </w:rPr>
      </w:pPr>
      <w:r w:rsidRPr="000677D5">
        <w:rPr>
          <w:sz w:val="20"/>
          <w:szCs w:val="20"/>
        </w:rPr>
        <w:tab/>
      </w:r>
      <w:r w:rsidRPr="000677D5">
        <w:rPr>
          <w:sz w:val="20"/>
          <w:szCs w:val="20"/>
        </w:rPr>
        <w:tab/>
      </w:r>
      <w:r w:rsidRPr="000677D5">
        <w:rPr>
          <w:sz w:val="20"/>
          <w:szCs w:val="20"/>
          <w:lang w:val="en-US"/>
        </w:rPr>
        <w:t>MB 20, MB 20 B1, MB 25, MB 30, MB 30 B1, MB 40 B1</w:t>
      </w:r>
    </w:p>
    <w:p w:rsidR="00035E3E" w:rsidRPr="000677D5" w:rsidRDefault="00035E3E" w:rsidP="00A20634">
      <w:pPr>
        <w:tabs>
          <w:tab w:val="left" w:pos="851"/>
          <w:tab w:val="left" w:pos="2977"/>
        </w:tabs>
        <w:spacing w:after="0"/>
        <w:ind w:left="851" w:hanging="851"/>
        <w:rPr>
          <w:sz w:val="20"/>
          <w:szCs w:val="20"/>
          <w:lang w:val="en-US"/>
        </w:rPr>
      </w:pPr>
      <w:r w:rsidRPr="000677D5">
        <w:rPr>
          <w:sz w:val="20"/>
          <w:szCs w:val="20"/>
          <w:lang w:val="en-US"/>
        </w:rPr>
        <w:tab/>
      </w:r>
      <w:r w:rsidRPr="000677D5">
        <w:rPr>
          <w:sz w:val="20"/>
          <w:szCs w:val="20"/>
          <w:lang w:val="en-US"/>
        </w:rPr>
        <w:tab/>
      </w:r>
    </w:p>
    <w:p w:rsidR="00035E3E" w:rsidRPr="000677D5" w:rsidRDefault="00035E3E" w:rsidP="00035E3E">
      <w:pPr>
        <w:pStyle w:val="Listenabsatz"/>
        <w:numPr>
          <w:ilvl w:val="1"/>
          <w:numId w:val="1"/>
        </w:numPr>
        <w:ind w:left="851" w:hanging="491"/>
        <w:rPr>
          <w:sz w:val="20"/>
          <w:szCs w:val="20"/>
          <w:u w:val="single"/>
        </w:rPr>
      </w:pPr>
      <w:r w:rsidRPr="000677D5">
        <w:rPr>
          <w:sz w:val="20"/>
          <w:szCs w:val="20"/>
          <w:u w:val="single"/>
        </w:rPr>
        <w:t>Relevante identifizierte Verwendung des Erzeugnisses und Verwendungen von denen abgeraten wird</w:t>
      </w:r>
    </w:p>
    <w:p w:rsidR="00035E3E" w:rsidRPr="000677D5" w:rsidRDefault="00035E3E" w:rsidP="00035E3E">
      <w:pPr>
        <w:ind w:left="851"/>
        <w:rPr>
          <w:sz w:val="20"/>
          <w:szCs w:val="20"/>
        </w:rPr>
      </w:pPr>
      <w:r w:rsidRPr="000677D5">
        <w:rPr>
          <w:sz w:val="20"/>
          <w:szCs w:val="20"/>
        </w:rPr>
        <w:t xml:space="preserve">Das Erzeugnis wird </w:t>
      </w:r>
      <w:r w:rsidR="00A20634" w:rsidRPr="000677D5">
        <w:rPr>
          <w:sz w:val="20"/>
          <w:szCs w:val="20"/>
        </w:rPr>
        <w:t>zur Herstellung von verlorenen Gießmodellen zum Vollformgießen nach VDI-Richtlinie 3381 und VDG-Merkblatt M4E verwendet.</w:t>
      </w:r>
      <w:r w:rsidR="003629E1" w:rsidRPr="000677D5">
        <w:rPr>
          <w:sz w:val="20"/>
          <w:szCs w:val="20"/>
        </w:rPr>
        <w:t xml:space="preserve"> Ebenso für die Herstellung von Prototypen, Ausstellungsstücken, Skulpturen, Messe- u. Architekturmodellen, </w:t>
      </w:r>
      <w:r w:rsidR="001C74F3" w:rsidRPr="000677D5">
        <w:rPr>
          <w:sz w:val="20"/>
          <w:szCs w:val="20"/>
        </w:rPr>
        <w:t>Bühnenmodellen, Kulissen</w:t>
      </w:r>
    </w:p>
    <w:p w:rsidR="00CE0274" w:rsidRPr="000677D5" w:rsidRDefault="00CE0274" w:rsidP="00CE0274">
      <w:pPr>
        <w:pStyle w:val="Listenabsatz"/>
        <w:numPr>
          <w:ilvl w:val="1"/>
          <w:numId w:val="1"/>
        </w:numPr>
        <w:ind w:left="851" w:hanging="491"/>
        <w:rPr>
          <w:sz w:val="20"/>
          <w:szCs w:val="20"/>
          <w:u w:val="single"/>
        </w:rPr>
      </w:pPr>
      <w:r w:rsidRPr="000677D5">
        <w:rPr>
          <w:sz w:val="20"/>
          <w:szCs w:val="20"/>
          <w:u w:val="single"/>
        </w:rPr>
        <w:t>Einzelheiten zum Lieferanten, der die Information bereitstellt</w:t>
      </w:r>
    </w:p>
    <w:p w:rsidR="00CE0274" w:rsidRPr="000677D5" w:rsidRDefault="00CE0274" w:rsidP="00EF1A03">
      <w:pPr>
        <w:tabs>
          <w:tab w:val="left" w:pos="851"/>
          <w:tab w:val="left" w:pos="2977"/>
        </w:tabs>
        <w:spacing w:after="0"/>
        <w:ind w:left="851"/>
        <w:rPr>
          <w:sz w:val="20"/>
          <w:szCs w:val="20"/>
        </w:rPr>
      </w:pPr>
      <w:r w:rsidRPr="000677D5">
        <w:rPr>
          <w:sz w:val="20"/>
          <w:szCs w:val="20"/>
        </w:rPr>
        <w:t>Hersteller/Lieferant:</w:t>
      </w:r>
      <w:r w:rsidRPr="000677D5">
        <w:rPr>
          <w:sz w:val="20"/>
          <w:szCs w:val="20"/>
        </w:rPr>
        <w:tab/>
      </w:r>
      <w:r w:rsidR="009424EE" w:rsidRPr="000677D5">
        <w:rPr>
          <w:sz w:val="20"/>
          <w:szCs w:val="20"/>
        </w:rPr>
        <w:t>NAFAB Foams GmbH</w:t>
      </w:r>
    </w:p>
    <w:p w:rsidR="00CE0274" w:rsidRPr="000677D5" w:rsidRDefault="00CE0274" w:rsidP="00EF1A03">
      <w:pPr>
        <w:tabs>
          <w:tab w:val="left" w:pos="851"/>
          <w:tab w:val="left" w:pos="2977"/>
        </w:tabs>
        <w:spacing w:after="0"/>
        <w:ind w:left="851"/>
        <w:rPr>
          <w:sz w:val="20"/>
          <w:szCs w:val="20"/>
        </w:rPr>
      </w:pPr>
      <w:r w:rsidRPr="000677D5">
        <w:rPr>
          <w:sz w:val="20"/>
          <w:szCs w:val="20"/>
        </w:rPr>
        <w:t>Straße/Postfach</w:t>
      </w:r>
      <w:r w:rsidRPr="000677D5">
        <w:rPr>
          <w:sz w:val="20"/>
          <w:szCs w:val="20"/>
        </w:rPr>
        <w:tab/>
      </w:r>
      <w:r w:rsidR="009424EE" w:rsidRPr="000677D5">
        <w:rPr>
          <w:sz w:val="20"/>
          <w:szCs w:val="20"/>
        </w:rPr>
        <w:t>Schwarzer Weg 7-37</w:t>
      </w:r>
    </w:p>
    <w:p w:rsidR="00CE0274" w:rsidRPr="000677D5" w:rsidRDefault="00CE0274" w:rsidP="00EF1A03">
      <w:pPr>
        <w:tabs>
          <w:tab w:val="left" w:pos="851"/>
          <w:tab w:val="left" w:pos="2977"/>
        </w:tabs>
        <w:spacing w:after="0"/>
        <w:ind w:left="851"/>
        <w:rPr>
          <w:sz w:val="20"/>
          <w:szCs w:val="20"/>
        </w:rPr>
      </w:pPr>
      <w:r w:rsidRPr="000677D5">
        <w:rPr>
          <w:sz w:val="20"/>
          <w:szCs w:val="20"/>
        </w:rPr>
        <w:t>Nat.-Kenn. /PLZ/Ort</w:t>
      </w:r>
      <w:r w:rsidRPr="000677D5">
        <w:rPr>
          <w:sz w:val="20"/>
          <w:szCs w:val="20"/>
        </w:rPr>
        <w:tab/>
      </w:r>
      <w:r w:rsidR="009424EE" w:rsidRPr="000677D5">
        <w:rPr>
          <w:sz w:val="20"/>
          <w:szCs w:val="20"/>
        </w:rPr>
        <w:t>D-53227 Bonn</w:t>
      </w:r>
    </w:p>
    <w:p w:rsidR="00CE0274" w:rsidRPr="000677D5" w:rsidRDefault="00CE0274" w:rsidP="00CE0274">
      <w:pPr>
        <w:tabs>
          <w:tab w:val="left" w:pos="851"/>
          <w:tab w:val="left" w:pos="2977"/>
        </w:tabs>
        <w:ind w:left="851"/>
        <w:rPr>
          <w:sz w:val="20"/>
          <w:szCs w:val="20"/>
        </w:rPr>
      </w:pPr>
      <w:r w:rsidRPr="000677D5">
        <w:rPr>
          <w:sz w:val="20"/>
          <w:szCs w:val="20"/>
        </w:rPr>
        <w:t>Telefon</w:t>
      </w:r>
      <w:r w:rsidR="009424EE" w:rsidRPr="000677D5">
        <w:rPr>
          <w:sz w:val="20"/>
          <w:szCs w:val="20"/>
        </w:rPr>
        <w:t>:</w:t>
      </w:r>
      <w:r w:rsidR="009424EE" w:rsidRPr="000677D5">
        <w:rPr>
          <w:sz w:val="20"/>
          <w:szCs w:val="20"/>
        </w:rPr>
        <w:tab/>
        <w:t>+49 (0)228 85054 130</w:t>
      </w:r>
      <w:r w:rsidR="009424EE" w:rsidRPr="000677D5">
        <w:rPr>
          <w:sz w:val="20"/>
          <w:szCs w:val="20"/>
        </w:rPr>
        <w:br/>
        <w:t>Fax:</w:t>
      </w:r>
      <w:r w:rsidR="009424EE" w:rsidRPr="000677D5">
        <w:rPr>
          <w:sz w:val="20"/>
          <w:szCs w:val="20"/>
        </w:rPr>
        <w:tab/>
        <w:t>+49 (0) 228 85054 131</w:t>
      </w:r>
      <w:r w:rsidR="009424EE" w:rsidRPr="000677D5">
        <w:rPr>
          <w:sz w:val="20"/>
          <w:szCs w:val="20"/>
        </w:rPr>
        <w:br/>
        <w:t>E-Mail:</w:t>
      </w:r>
      <w:r w:rsidR="009424EE" w:rsidRPr="000677D5">
        <w:rPr>
          <w:sz w:val="20"/>
          <w:szCs w:val="20"/>
        </w:rPr>
        <w:tab/>
        <w:t>info@nafab-foams</w:t>
      </w:r>
      <w:r w:rsidR="00B43172" w:rsidRPr="000677D5">
        <w:rPr>
          <w:sz w:val="20"/>
          <w:szCs w:val="20"/>
        </w:rPr>
        <w:t>.de</w:t>
      </w:r>
    </w:p>
    <w:p w:rsidR="00CE0274" w:rsidRPr="000677D5" w:rsidRDefault="00CE0274" w:rsidP="00CE0274">
      <w:pPr>
        <w:pStyle w:val="Listenabsatz"/>
        <w:numPr>
          <w:ilvl w:val="0"/>
          <w:numId w:val="1"/>
        </w:numPr>
        <w:ind w:left="357" w:hanging="357"/>
        <w:contextualSpacing w:val="0"/>
        <w:rPr>
          <w:b/>
          <w:sz w:val="20"/>
          <w:szCs w:val="20"/>
        </w:rPr>
      </w:pPr>
      <w:r w:rsidRPr="000677D5">
        <w:rPr>
          <w:b/>
          <w:sz w:val="20"/>
          <w:szCs w:val="20"/>
        </w:rPr>
        <w:t>Mögliche Gefahren</w:t>
      </w:r>
    </w:p>
    <w:p w:rsidR="00CE0274" w:rsidRPr="000677D5" w:rsidRDefault="00CE0274" w:rsidP="007F19CB">
      <w:pPr>
        <w:pStyle w:val="Listenabsatz"/>
        <w:numPr>
          <w:ilvl w:val="1"/>
          <w:numId w:val="1"/>
        </w:numPr>
        <w:spacing w:after="120"/>
        <w:ind w:left="850" w:hanging="493"/>
        <w:rPr>
          <w:sz w:val="20"/>
          <w:szCs w:val="20"/>
        </w:rPr>
      </w:pPr>
      <w:r w:rsidRPr="000677D5">
        <w:rPr>
          <w:sz w:val="20"/>
          <w:szCs w:val="20"/>
        </w:rPr>
        <w:t>Einstufung des Erzeugnisses nach Verordnung (EG) Nr. 1272 / 2008</w:t>
      </w:r>
      <w:r w:rsidR="00B43172" w:rsidRPr="000677D5">
        <w:rPr>
          <w:sz w:val="20"/>
          <w:szCs w:val="20"/>
        </w:rPr>
        <w:t xml:space="preserve"> [CLP]</w:t>
      </w:r>
    </w:p>
    <w:p w:rsidR="00CE0274" w:rsidRPr="000677D5" w:rsidRDefault="00CE0274" w:rsidP="00CE0274">
      <w:pPr>
        <w:tabs>
          <w:tab w:val="left" w:pos="851"/>
          <w:tab w:val="left" w:pos="2977"/>
        </w:tabs>
        <w:ind w:left="851"/>
        <w:rPr>
          <w:sz w:val="20"/>
          <w:szCs w:val="20"/>
        </w:rPr>
      </w:pPr>
      <w:r w:rsidRPr="000677D5">
        <w:rPr>
          <w:sz w:val="20"/>
          <w:szCs w:val="20"/>
        </w:rPr>
        <w:t>Das Erzeugnis ist nach GHS-Kriterien nicht einstufungspflichtig.</w:t>
      </w:r>
    </w:p>
    <w:p w:rsidR="007F19CB" w:rsidRPr="000677D5" w:rsidRDefault="007F19CB" w:rsidP="007F19CB">
      <w:pPr>
        <w:pStyle w:val="Listenabsatz"/>
        <w:numPr>
          <w:ilvl w:val="1"/>
          <w:numId w:val="1"/>
        </w:numPr>
        <w:ind w:left="851" w:hanging="491"/>
        <w:rPr>
          <w:sz w:val="20"/>
          <w:szCs w:val="20"/>
        </w:rPr>
      </w:pPr>
      <w:r w:rsidRPr="000677D5">
        <w:rPr>
          <w:sz w:val="20"/>
          <w:szCs w:val="20"/>
        </w:rPr>
        <w:t>Kennzeichnungselemente</w:t>
      </w:r>
    </w:p>
    <w:p w:rsidR="007F19CB" w:rsidRPr="000677D5" w:rsidRDefault="007F19CB" w:rsidP="007F19CB">
      <w:pPr>
        <w:ind w:left="851"/>
        <w:rPr>
          <w:sz w:val="20"/>
          <w:szCs w:val="20"/>
        </w:rPr>
      </w:pPr>
      <w:r w:rsidRPr="000677D5">
        <w:rPr>
          <w:sz w:val="20"/>
          <w:szCs w:val="20"/>
        </w:rPr>
        <w:t>Das Erzeugnis ist nach GHS-Kriterien nicht kennzeichnungspflichtig.</w:t>
      </w:r>
    </w:p>
    <w:p w:rsidR="007F19CB" w:rsidRPr="000677D5" w:rsidRDefault="007F19CB" w:rsidP="007F19CB">
      <w:pPr>
        <w:pStyle w:val="Listenabsatz"/>
        <w:numPr>
          <w:ilvl w:val="1"/>
          <w:numId w:val="1"/>
        </w:numPr>
        <w:spacing w:after="0"/>
        <w:ind w:left="850" w:hanging="493"/>
        <w:rPr>
          <w:sz w:val="20"/>
          <w:szCs w:val="20"/>
        </w:rPr>
      </w:pPr>
      <w:r w:rsidRPr="000677D5">
        <w:rPr>
          <w:sz w:val="20"/>
          <w:szCs w:val="20"/>
        </w:rPr>
        <w:t>Sonstige Gefahren</w:t>
      </w:r>
    </w:p>
    <w:p w:rsidR="007F19CB" w:rsidRPr="000677D5" w:rsidRDefault="007F19CB" w:rsidP="007F19CB">
      <w:pPr>
        <w:ind w:left="851"/>
        <w:rPr>
          <w:sz w:val="20"/>
          <w:szCs w:val="20"/>
        </w:rPr>
      </w:pPr>
      <w:r w:rsidRPr="000677D5">
        <w:rPr>
          <w:sz w:val="20"/>
          <w:szCs w:val="20"/>
        </w:rPr>
        <w:t>Bei bestimmungsgemäßen Gebrauch gehen von diesem Erzeugnis keine besonderen Gefahren für Mensch und Umwelt aus.</w:t>
      </w:r>
    </w:p>
    <w:p w:rsidR="00035E3E" w:rsidRPr="000677D5" w:rsidRDefault="007F19CB" w:rsidP="007F19CB">
      <w:pPr>
        <w:pStyle w:val="Listenabsatz"/>
        <w:numPr>
          <w:ilvl w:val="0"/>
          <w:numId w:val="1"/>
        </w:numPr>
        <w:rPr>
          <w:b/>
          <w:sz w:val="20"/>
          <w:szCs w:val="20"/>
        </w:rPr>
      </w:pPr>
      <w:r w:rsidRPr="000677D5">
        <w:rPr>
          <w:b/>
          <w:sz w:val="20"/>
          <w:szCs w:val="20"/>
        </w:rPr>
        <w:t>Zusammensetzung/Angaben zu den Bestandteilen</w:t>
      </w:r>
    </w:p>
    <w:p w:rsidR="007F19CB" w:rsidRPr="000677D5" w:rsidRDefault="007F19CB" w:rsidP="00DF4E94">
      <w:pPr>
        <w:tabs>
          <w:tab w:val="left" w:pos="426"/>
          <w:tab w:val="left" w:pos="1843"/>
        </w:tabs>
        <w:spacing w:after="0"/>
        <w:rPr>
          <w:sz w:val="20"/>
          <w:szCs w:val="20"/>
        </w:rPr>
      </w:pPr>
      <w:r w:rsidRPr="000677D5">
        <w:rPr>
          <w:sz w:val="20"/>
          <w:szCs w:val="20"/>
        </w:rPr>
        <w:tab/>
        <w:t>Name:</w:t>
      </w:r>
      <w:r w:rsidRPr="000677D5">
        <w:rPr>
          <w:sz w:val="20"/>
          <w:szCs w:val="20"/>
        </w:rPr>
        <w:tab/>
        <w:t>Expandiertes Polystyrol</w:t>
      </w:r>
    </w:p>
    <w:p w:rsidR="00A914B8" w:rsidRPr="000677D5" w:rsidRDefault="007F19CB" w:rsidP="007F19CB">
      <w:pPr>
        <w:tabs>
          <w:tab w:val="left" w:pos="1843"/>
        </w:tabs>
        <w:ind w:left="1843" w:hanging="1417"/>
        <w:rPr>
          <w:sz w:val="20"/>
          <w:szCs w:val="20"/>
        </w:rPr>
      </w:pPr>
      <w:r w:rsidRPr="000677D5">
        <w:rPr>
          <w:sz w:val="20"/>
          <w:szCs w:val="20"/>
        </w:rPr>
        <w:t>Synonyme:</w:t>
      </w:r>
      <w:r w:rsidRPr="000677D5">
        <w:rPr>
          <w:sz w:val="20"/>
          <w:szCs w:val="20"/>
        </w:rPr>
        <w:tab/>
        <w:t>Expandierter Polystyrolhartschaum, EPS,</w:t>
      </w:r>
      <w:r w:rsidR="009424EE" w:rsidRPr="000677D5">
        <w:rPr>
          <w:sz w:val="20"/>
          <w:szCs w:val="20"/>
        </w:rPr>
        <w:t xml:space="preserve"> </w:t>
      </w:r>
      <w:r w:rsidR="00D43915" w:rsidRPr="000677D5">
        <w:rPr>
          <w:sz w:val="20"/>
          <w:szCs w:val="20"/>
        </w:rPr>
        <w:t>EPS-Hartschaum, Polystyrol-HartS</w:t>
      </w:r>
      <w:r w:rsidR="009424EE" w:rsidRPr="000677D5">
        <w:rPr>
          <w:sz w:val="20"/>
          <w:szCs w:val="20"/>
        </w:rPr>
        <w:t>chaum, Polystyrol Gießschaum</w:t>
      </w:r>
      <w:r w:rsidR="008F08DD" w:rsidRPr="000677D5">
        <w:rPr>
          <w:sz w:val="20"/>
          <w:szCs w:val="20"/>
        </w:rPr>
        <w:t>, EPS Modellschaum</w:t>
      </w:r>
    </w:p>
    <w:p w:rsidR="00A914B8" w:rsidRPr="000677D5" w:rsidRDefault="00A914B8">
      <w:pPr>
        <w:rPr>
          <w:sz w:val="20"/>
          <w:szCs w:val="20"/>
        </w:rPr>
      </w:pPr>
      <w:r w:rsidRPr="000677D5">
        <w:rPr>
          <w:sz w:val="20"/>
          <w:szCs w:val="20"/>
        </w:rPr>
        <w:br w:type="page"/>
      </w:r>
    </w:p>
    <w:p w:rsidR="00943F55" w:rsidRPr="000677D5" w:rsidRDefault="005764E9" w:rsidP="00D81B22">
      <w:pPr>
        <w:tabs>
          <w:tab w:val="left" w:pos="1843"/>
        </w:tabs>
        <w:ind w:left="1843" w:hanging="1417"/>
        <w:rPr>
          <w:sz w:val="20"/>
          <w:szCs w:val="20"/>
        </w:rPr>
      </w:pPr>
      <w:r w:rsidRPr="000677D5">
        <w:rPr>
          <w:sz w:val="20"/>
          <w:szCs w:val="20"/>
        </w:rPr>
        <w:lastRenderedPageBreak/>
        <w:t>Polystyrol</w:t>
      </w:r>
      <w:r w:rsidRPr="000677D5">
        <w:rPr>
          <w:sz w:val="20"/>
          <w:szCs w:val="20"/>
        </w:rPr>
        <w:br/>
        <w:t>Gehalt (W/W) &gt; 9</w:t>
      </w:r>
      <w:r w:rsidR="00A914B8" w:rsidRPr="000677D5">
        <w:rPr>
          <w:sz w:val="20"/>
          <w:szCs w:val="20"/>
        </w:rPr>
        <w:t>8</w:t>
      </w:r>
      <w:r w:rsidRPr="000677D5">
        <w:rPr>
          <w:sz w:val="20"/>
          <w:szCs w:val="20"/>
        </w:rPr>
        <w:t xml:space="preserve"> %</w:t>
      </w:r>
      <w:r w:rsidRPr="000677D5">
        <w:rPr>
          <w:sz w:val="20"/>
          <w:szCs w:val="20"/>
        </w:rPr>
        <w:br/>
        <w:t>CAS-Nummer: 9003-53-6</w:t>
      </w:r>
      <w:r w:rsidR="00943F55" w:rsidRPr="000677D5">
        <w:rPr>
          <w:sz w:val="20"/>
          <w:szCs w:val="20"/>
        </w:rPr>
        <w:br/>
      </w:r>
      <w:r w:rsidR="00D81B22" w:rsidRPr="000677D5">
        <w:rPr>
          <w:sz w:val="20"/>
          <w:szCs w:val="20"/>
        </w:rPr>
        <w:t>E</w:t>
      </w:r>
      <w:r w:rsidRPr="000677D5">
        <w:rPr>
          <w:sz w:val="20"/>
          <w:szCs w:val="20"/>
        </w:rPr>
        <w:t>G-Nummer: entfällt</w:t>
      </w:r>
      <w:r w:rsidR="00943F55" w:rsidRPr="000677D5">
        <w:rPr>
          <w:sz w:val="20"/>
          <w:szCs w:val="20"/>
        </w:rPr>
        <w:br/>
        <w:t>H-Sätze: entfällt</w:t>
      </w:r>
    </w:p>
    <w:p w:rsidR="005764E9" w:rsidRPr="000677D5" w:rsidRDefault="00943F55" w:rsidP="001C74F3">
      <w:pPr>
        <w:tabs>
          <w:tab w:val="left" w:pos="1843"/>
        </w:tabs>
        <w:ind w:left="1843" w:hanging="1417"/>
        <w:rPr>
          <w:sz w:val="20"/>
          <w:szCs w:val="20"/>
        </w:rPr>
      </w:pPr>
      <w:r w:rsidRPr="000677D5">
        <w:rPr>
          <w:sz w:val="20"/>
          <w:szCs w:val="20"/>
        </w:rPr>
        <w:t>Pentan / Isopentan</w:t>
      </w:r>
      <w:r w:rsidRPr="000677D5">
        <w:rPr>
          <w:sz w:val="20"/>
          <w:szCs w:val="20"/>
        </w:rPr>
        <w:br/>
        <w:t>Gehalt (W/W) &lt; 2 %</w:t>
      </w:r>
      <w:r w:rsidR="001C74F3" w:rsidRPr="000677D5">
        <w:rPr>
          <w:sz w:val="20"/>
          <w:szCs w:val="20"/>
        </w:rPr>
        <w:br/>
        <w:t>EG-Index-Nr.: 601-006-00-1                                                                            Kennzeichnung nach EG-Richtlinien  F+, Xn, N, R 12-65-66-67-51/53</w:t>
      </w:r>
    </w:p>
    <w:p w:rsidR="00FC5DFF" w:rsidRPr="000677D5" w:rsidRDefault="00FC5DFF" w:rsidP="0087274D">
      <w:pPr>
        <w:spacing w:before="120"/>
        <w:ind w:left="425"/>
        <w:rPr>
          <w:sz w:val="20"/>
          <w:szCs w:val="20"/>
        </w:rPr>
      </w:pPr>
      <w:r w:rsidRPr="000677D5">
        <w:rPr>
          <w:sz w:val="20"/>
          <w:szCs w:val="20"/>
        </w:rPr>
        <w:t>Der Wortl</w:t>
      </w:r>
      <w:r w:rsidR="001C74F3" w:rsidRPr="000677D5">
        <w:rPr>
          <w:sz w:val="20"/>
          <w:szCs w:val="20"/>
        </w:rPr>
        <w:t>aut der R-Sätze siehe unter dem Punkt : Sonstige Angaben</w:t>
      </w:r>
    </w:p>
    <w:p w:rsidR="0087274D" w:rsidRPr="000677D5" w:rsidRDefault="0087274D" w:rsidP="0087274D">
      <w:pPr>
        <w:pStyle w:val="Listenabsatz"/>
        <w:numPr>
          <w:ilvl w:val="0"/>
          <w:numId w:val="1"/>
        </w:numPr>
        <w:rPr>
          <w:b/>
          <w:sz w:val="20"/>
          <w:szCs w:val="20"/>
        </w:rPr>
      </w:pPr>
      <w:r w:rsidRPr="000677D5">
        <w:rPr>
          <w:b/>
          <w:sz w:val="20"/>
          <w:szCs w:val="20"/>
        </w:rPr>
        <w:t>Erste-Hilfe-Maßnahmen</w:t>
      </w:r>
    </w:p>
    <w:p w:rsidR="0087274D" w:rsidRPr="000677D5" w:rsidRDefault="0087274D" w:rsidP="0087274D">
      <w:pPr>
        <w:ind w:left="426"/>
        <w:rPr>
          <w:sz w:val="20"/>
          <w:szCs w:val="20"/>
        </w:rPr>
      </w:pPr>
      <w:r w:rsidRPr="000677D5">
        <w:rPr>
          <w:bCs/>
          <w:iCs/>
          <w:sz w:val="20"/>
          <w:szCs w:val="20"/>
        </w:rPr>
        <w:t>Es sind keine besonderen Maßnahmen erforderlich</w:t>
      </w:r>
      <w:r w:rsidRPr="000677D5">
        <w:rPr>
          <w:sz w:val="20"/>
          <w:szCs w:val="20"/>
        </w:rPr>
        <w:t>.</w:t>
      </w:r>
    </w:p>
    <w:p w:rsidR="0087274D" w:rsidRPr="000677D5" w:rsidRDefault="0087274D" w:rsidP="0087274D">
      <w:pPr>
        <w:pStyle w:val="Listenabsatz"/>
        <w:numPr>
          <w:ilvl w:val="0"/>
          <w:numId w:val="1"/>
        </w:numPr>
        <w:ind w:left="357" w:hanging="357"/>
        <w:contextualSpacing w:val="0"/>
        <w:rPr>
          <w:b/>
          <w:sz w:val="20"/>
          <w:szCs w:val="20"/>
        </w:rPr>
      </w:pPr>
      <w:r w:rsidRPr="000677D5">
        <w:rPr>
          <w:b/>
          <w:sz w:val="20"/>
          <w:szCs w:val="20"/>
        </w:rPr>
        <w:t>Maßnahmen zur Brandbekämpfung</w:t>
      </w:r>
    </w:p>
    <w:p w:rsidR="0087274D" w:rsidRPr="000677D5" w:rsidRDefault="0087274D" w:rsidP="0087274D">
      <w:pPr>
        <w:pStyle w:val="Listenabsatz"/>
        <w:numPr>
          <w:ilvl w:val="1"/>
          <w:numId w:val="1"/>
        </w:numPr>
        <w:ind w:left="851" w:hanging="491"/>
        <w:rPr>
          <w:sz w:val="20"/>
          <w:szCs w:val="20"/>
        </w:rPr>
      </w:pPr>
      <w:r w:rsidRPr="000677D5">
        <w:rPr>
          <w:sz w:val="20"/>
          <w:szCs w:val="20"/>
        </w:rPr>
        <w:t>Löschmittel</w:t>
      </w:r>
    </w:p>
    <w:p w:rsidR="0087274D" w:rsidRPr="000677D5" w:rsidRDefault="0087274D" w:rsidP="00DF4E94">
      <w:pPr>
        <w:spacing w:after="0"/>
        <w:ind w:left="851"/>
        <w:rPr>
          <w:sz w:val="20"/>
          <w:szCs w:val="20"/>
        </w:rPr>
      </w:pPr>
      <w:r w:rsidRPr="000677D5">
        <w:rPr>
          <w:sz w:val="20"/>
          <w:szCs w:val="20"/>
        </w:rPr>
        <w:t xml:space="preserve">Geeignete Löschmittel: </w:t>
      </w:r>
      <w:r w:rsidRPr="000677D5">
        <w:rPr>
          <w:bCs/>
          <w:iCs/>
          <w:sz w:val="20"/>
          <w:szCs w:val="20"/>
        </w:rPr>
        <w:t>Wassernebel, Schaum, trockene Löschmittel</w:t>
      </w:r>
    </w:p>
    <w:p w:rsidR="0087274D" w:rsidRPr="000677D5" w:rsidRDefault="0087274D" w:rsidP="0087274D">
      <w:pPr>
        <w:ind w:left="851"/>
        <w:rPr>
          <w:sz w:val="20"/>
          <w:szCs w:val="20"/>
        </w:rPr>
      </w:pPr>
      <w:r w:rsidRPr="000677D5">
        <w:rPr>
          <w:sz w:val="20"/>
          <w:szCs w:val="20"/>
        </w:rPr>
        <w:t>Aus Sicherheitsgründen ungeeignete Löschmittel: Wasservollstrahl</w:t>
      </w:r>
    </w:p>
    <w:p w:rsidR="0087274D" w:rsidRPr="000677D5" w:rsidRDefault="0087274D" w:rsidP="0087274D">
      <w:pPr>
        <w:pStyle w:val="Listenabsatz"/>
        <w:numPr>
          <w:ilvl w:val="1"/>
          <w:numId w:val="1"/>
        </w:numPr>
        <w:ind w:left="851" w:hanging="491"/>
        <w:rPr>
          <w:sz w:val="20"/>
          <w:szCs w:val="20"/>
        </w:rPr>
      </w:pPr>
      <w:r w:rsidRPr="000677D5">
        <w:rPr>
          <w:sz w:val="20"/>
          <w:szCs w:val="20"/>
        </w:rPr>
        <w:t>Besondere vom Erzeugnis ausgehende Gefahren</w:t>
      </w:r>
    </w:p>
    <w:p w:rsidR="0087274D" w:rsidRPr="000677D5" w:rsidRDefault="0087274D" w:rsidP="0087274D">
      <w:pPr>
        <w:ind w:left="851"/>
        <w:rPr>
          <w:sz w:val="20"/>
          <w:szCs w:val="20"/>
        </w:rPr>
      </w:pPr>
      <w:r w:rsidRPr="000677D5">
        <w:rPr>
          <w:sz w:val="20"/>
          <w:szCs w:val="20"/>
        </w:rPr>
        <w:t>Bei einem Brandfall kann freigesetzt werden:</w:t>
      </w:r>
    </w:p>
    <w:p w:rsidR="0087274D" w:rsidRPr="000677D5" w:rsidRDefault="00066CF3" w:rsidP="0087274D">
      <w:pPr>
        <w:ind w:left="851"/>
        <w:rPr>
          <w:sz w:val="20"/>
          <w:szCs w:val="20"/>
        </w:rPr>
      </w:pPr>
      <w:r w:rsidRPr="000677D5">
        <w:rPr>
          <w:sz w:val="20"/>
          <w:szCs w:val="20"/>
        </w:rPr>
        <w:t xml:space="preserve">Brennbar. Im Brandfall Entstehung gefährlicher Brandgase oder Dämpfe möglich. </w:t>
      </w:r>
      <w:r w:rsidR="0087274D" w:rsidRPr="000677D5">
        <w:rPr>
          <w:sz w:val="20"/>
          <w:szCs w:val="20"/>
        </w:rPr>
        <w:t>Ruß, Kohlendioxid, Ko</w:t>
      </w:r>
      <w:r w:rsidRPr="000677D5">
        <w:rPr>
          <w:sz w:val="20"/>
          <w:szCs w:val="20"/>
        </w:rPr>
        <w:t xml:space="preserve">hlenmonoxid, Styrol, </w:t>
      </w:r>
      <w:r w:rsidR="0087274D" w:rsidRPr="000677D5">
        <w:rPr>
          <w:sz w:val="20"/>
          <w:szCs w:val="20"/>
        </w:rPr>
        <w:t>Bromwasserstoff, aliphatische Kohlenwasserstoffe, Dämpfe schwerer al</w:t>
      </w:r>
      <w:r w:rsidRPr="000677D5">
        <w:rPr>
          <w:sz w:val="20"/>
          <w:szCs w:val="20"/>
        </w:rPr>
        <w:t>s Luft.</w:t>
      </w:r>
    </w:p>
    <w:p w:rsidR="0087274D" w:rsidRPr="000677D5" w:rsidRDefault="00D85369" w:rsidP="0087274D">
      <w:pPr>
        <w:pStyle w:val="Listenabsatz"/>
        <w:numPr>
          <w:ilvl w:val="1"/>
          <w:numId w:val="1"/>
        </w:numPr>
        <w:ind w:left="851" w:hanging="491"/>
        <w:rPr>
          <w:sz w:val="20"/>
          <w:szCs w:val="20"/>
        </w:rPr>
      </w:pPr>
      <w:r w:rsidRPr="000677D5">
        <w:rPr>
          <w:sz w:val="20"/>
          <w:szCs w:val="20"/>
        </w:rPr>
        <w:t>Hinweise für die Brandbekämpfung</w:t>
      </w:r>
    </w:p>
    <w:p w:rsidR="0087274D" w:rsidRPr="000677D5" w:rsidRDefault="00D85369" w:rsidP="00D85369">
      <w:pPr>
        <w:ind w:left="851"/>
        <w:rPr>
          <w:sz w:val="20"/>
          <w:szCs w:val="20"/>
        </w:rPr>
      </w:pPr>
      <w:r w:rsidRPr="000677D5">
        <w:rPr>
          <w:sz w:val="20"/>
          <w:szCs w:val="20"/>
        </w:rPr>
        <w:t>Aufenthalt im Gefahrenbereich nur mit vollständiger Schutzkleidung und umgebungsluftunabhängigem Atemschutzgerät</w:t>
      </w:r>
    </w:p>
    <w:p w:rsidR="00D85369" w:rsidRPr="000677D5" w:rsidRDefault="00D85369" w:rsidP="00D85369">
      <w:pPr>
        <w:pStyle w:val="Listenabsatz"/>
        <w:numPr>
          <w:ilvl w:val="0"/>
          <w:numId w:val="1"/>
        </w:numPr>
        <w:ind w:left="357" w:hanging="357"/>
        <w:contextualSpacing w:val="0"/>
        <w:rPr>
          <w:b/>
          <w:sz w:val="20"/>
          <w:szCs w:val="20"/>
        </w:rPr>
      </w:pPr>
      <w:r w:rsidRPr="000677D5">
        <w:rPr>
          <w:b/>
          <w:sz w:val="20"/>
          <w:szCs w:val="20"/>
        </w:rPr>
        <w:t>Maßnahmen bei unbeabsichtigter Freisetzung</w:t>
      </w:r>
    </w:p>
    <w:p w:rsidR="00D85369" w:rsidRPr="000677D5" w:rsidRDefault="00D85369" w:rsidP="00D85369">
      <w:pPr>
        <w:ind w:left="426"/>
        <w:rPr>
          <w:sz w:val="20"/>
          <w:szCs w:val="20"/>
        </w:rPr>
      </w:pPr>
      <w:r w:rsidRPr="000677D5">
        <w:rPr>
          <w:sz w:val="20"/>
          <w:szCs w:val="20"/>
        </w:rPr>
        <w:t>Nicht zutreffend</w:t>
      </w:r>
    </w:p>
    <w:p w:rsidR="00D85369" w:rsidRPr="000677D5" w:rsidRDefault="00D85369" w:rsidP="00D85369">
      <w:pPr>
        <w:pStyle w:val="Listenabsatz"/>
        <w:numPr>
          <w:ilvl w:val="0"/>
          <w:numId w:val="1"/>
        </w:numPr>
        <w:ind w:left="357" w:hanging="357"/>
        <w:contextualSpacing w:val="0"/>
        <w:rPr>
          <w:b/>
          <w:sz w:val="20"/>
          <w:szCs w:val="20"/>
        </w:rPr>
      </w:pPr>
      <w:r w:rsidRPr="000677D5">
        <w:rPr>
          <w:b/>
          <w:sz w:val="20"/>
          <w:szCs w:val="20"/>
        </w:rPr>
        <w:t>Handhabung und Lagerung</w:t>
      </w:r>
    </w:p>
    <w:p w:rsidR="00D85369" w:rsidRPr="000677D5" w:rsidRDefault="00D85369" w:rsidP="00D85369">
      <w:pPr>
        <w:pStyle w:val="Listenabsatz"/>
        <w:numPr>
          <w:ilvl w:val="1"/>
          <w:numId w:val="1"/>
        </w:numPr>
        <w:ind w:left="851"/>
        <w:contextualSpacing w:val="0"/>
        <w:rPr>
          <w:sz w:val="20"/>
          <w:szCs w:val="20"/>
        </w:rPr>
      </w:pPr>
      <w:r w:rsidRPr="000677D5">
        <w:rPr>
          <w:sz w:val="20"/>
          <w:szCs w:val="20"/>
        </w:rPr>
        <w:t>Schutzmaßnahmen zur sicheren Handhabung</w:t>
      </w:r>
    </w:p>
    <w:p w:rsidR="00D85369" w:rsidRPr="000677D5" w:rsidRDefault="00D85369" w:rsidP="003831C6">
      <w:pPr>
        <w:spacing w:after="120"/>
        <w:ind w:left="851"/>
        <w:rPr>
          <w:sz w:val="20"/>
          <w:szCs w:val="20"/>
        </w:rPr>
      </w:pPr>
      <w:r w:rsidRPr="000677D5">
        <w:rPr>
          <w:sz w:val="20"/>
          <w:szCs w:val="20"/>
        </w:rPr>
        <w:t>Hinweise zum sicheren Umgang</w:t>
      </w:r>
    </w:p>
    <w:p w:rsidR="00D85369" w:rsidRPr="000677D5" w:rsidRDefault="00D85369" w:rsidP="00DF4E94">
      <w:pPr>
        <w:tabs>
          <w:tab w:val="left" w:pos="1134"/>
        </w:tabs>
        <w:spacing w:after="0"/>
        <w:ind w:left="851"/>
        <w:rPr>
          <w:sz w:val="20"/>
          <w:szCs w:val="20"/>
        </w:rPr>
      </w:pPr>
      <w:r w:rsidRPr="000677D5">
        <w:rPr>
          <w:sz w:val="20"/>
          <w:szCs w:val="20"/>
        </w:rPr>
        <w:t>-</w:t>
      </w:r>
      <w:r w:rsidRPr="000677D5">
        <w:rPr>
          <w:sz w:val="20"/>
          <w:szCs w:val="20"/>
        </w:rPr>
        <w:tab/>
        <w:t>In Bereichen, in denen gearbeitet wird, nicht essen, trinken, rauchen</w:t>
      </w:r>
    </w:p>
    <w:p w:rsidR="00D85369" w:rsidRPr="000677D5" w:rsidRDefault="00D85369" w:rsidP="00DF4E94">
      <w:pPr>
        <w:tabs>
          <w:tab w:val="left" w:pos="1134"/>
        </w:tabs>
        <w:spacing w:after="0"/>
        <w:ind w:left="851"/>
        <w:rPr>
          <w:sz w:val="20"/>
          <w:szCs w:val="20"/>
        </w:rPr>
      </w:pPr>
      <w:r w:rsidRPr="000677D5">
        <w:rPr>
          <w:sz w:val="20"/>
          <w:szCs w:val="20"/>
        </w:rPr>
        <w:t>-</w:t>
      </w:r>
      <w:r w:rsidRPr="000677D5">
        <w:rPr>
          <w:sz w:val="20"/>
          <w:szCs w:val="20"/>
        </w:rPr>
        <w:tab/>
        <w:t>Nach Gebrauch die Hände waschen</w:t>
      </w:r>
    </w:p>
    <w:p w:rsidR="00D85369" w:rsidRPr="000677D5" w:rsidRDefault="00D85369" w:rsidP="00DF4E94">
      <w:pPr>
        <w:tabs>
          <w:tab w:val="left" w:pos="1134"/>
        </w:tabs>
        <w:spacing w:after="0"/>
        <w:ind w:left="851"/>
        <w:rPr>
          <w:sz w:val="20"/>
          <w:szCs w:val="20"/>
        </w:rPr>
      </w:pPr>
      <w:r w:rsidRPr="000677D5">
        <w:rPr>
          <w:sz w:val="20"/>
          <w:szCs w:val="20"/>
        </w:rPr>
        <w:t>-</w:t>
      </w:r>
      <w:r w:rsidRPr="000677D5">
        <w:rPr>
          <w:sz w:val="20"/>
          <w:szCs w:val="20"/>
        </w:rPr>
        <w:tab/>
        <w:t>Entwicklung von Stäuben vermeiden; Stäube nicht einatmen</w:t>
      </w:r>
    </w:p>
    <w:p w:rsidR="00D85369" w:rsidRPr="000677D5" w:rsidRDefault="00D85369" w:rsidP="00DF4E94">
      <w:pPr>
        <w:tabs>
          <w:tab w:val="left" w:pos="1134"/>
        </w:tabs>
        <w:spacing w:after="0"/>
        <w:ind w:left="851"/>
        <w:rPr>
          <w:sz w:val="20"/>
          <w:szCs w:val="20"/>
        </w:rPr>
      </w:pPr>
      <w:r w:rsidRPr="000677D5">
        <w:rPr>
          <w:sz w:val="20"/>
          <w:szCs w:val="20"/>
        </w:rPr>
        <w:t>-</w:t>
      </w:r>
      <w:r w:rsidRPr="000677D5">
        <w:rPr>
          <w:sz w:val="20"/>
          <w:szCs w:val="20"/>
        </w:rPr>
        <w:tab/>
        <w:t>Keine Dämpfe oder Ausdünstungen erhitzter Produkte einatmen</w:t>
      </w:r>
    </w:p>
    <w:p w:rsidR="00A914B8" w:rsidRPr="000677D5" w:rsidRDefault="00D85369" w:rsidP="00D85369">
      <w:pPr>
        <w:tabs>
          <w:tab w:val="left" w:pos="1134"/>
        </w:tabs>
        <w:ind w:left="851"/>
        <w:rPr>
          <w:sz w:val="20"/>
          <w:szCs w:val="20"/>
        </w:rPr>
      </w:pPr>
      <w:r w:rsidRPr="000677D5">
        <w:rPr>
          <w:sz w:val="20"/>
          <w:szCs w:val="20"/>
        </w:rPr>
        <w:t>-</w:t>
      </w:r>
      <w:r w:rsidRPr="000677D5">
        <w:rPr>
          <w:sz w:val="20"/>
          <w:szCs w:val="20"/>
        </w:rPr>
        <w:tab/>
        <w:t>Beim Heißdrahtschneiden für gute Belüftung sorgen</w:t>
      </w:r>
    </w:p>
    <w:p w:rsidR="00A914B8" w:rsidRPr="000677D5" w:rsidRDefault="00A914B8">
      <w:pPr>
        <w:rPr>
          <w:sz w:val="20"/>
          <w:szCs w:val="20"/>
        </w:rPr>
      </w:pPr>
      <w:r w:rsidRPr="000677D5">
        <w:rPr>
          <w:sz w:val="20"/>
          <w:szCs w:val="20"/>
        </w:rPr>
        <w:br w:type="page"/>
      </w:r>
    </w:p>
    <w:p w:rsidR="00D85369" w:rsidRPr="000677D5" w:rsidRDefault="00D85369" w:rsidP="00D85369">
      <w:pPr>
        <w:tabs>
          <w:tab w:val="left" w:pos="1134"/>
        </w:tabs>
        <w:ind w:left="851"/>
        <w:rPr>
          <w:sz w:val="20"/>
          <w:szCs w:val="20"/>
        </w:rPr>
      </w:pPr>
    </w:p>
    <w:p w:rsidR="00D85369" w:rsidRPr="000677D5" w:rsidRDefault="00D85369" w:rsidP="00D85369">
      <w:pPr>
        <w:ind w:left="851"/>
        <w:rPr>
          <w:sz w:val="20"/>
          <w:szCs w:val="20"/>
        </w:rPr>
      </w:pPr>
      <w:r w:rsidRPr="000677D5">
        <w:rPr>
          <w:sz w:val="20"/>
          <w:szCs w:val="20"/>
        </w:rPr>
        <w:t>Hinweise zum Brand- und Explosionsschutz</w:t>
      </w:r>
    </w:p>
    <w:p w:rsidR="00D85369" w:rsidRPr="000677D5" w:rsidRDefault="00D85369" w:rsidP="00D85369">
      <w:pPr>
        <w:ind w:left="851"/>
        <w:rPr>
          <w:sz w:val="20"/>
          <w:szCs w:val="20"/>
        </w:rPr>
      </w:pPr>
      <w:r w:rsidRPr="000677D5">
        <w:rPr>
          <w:sz w:val="20"/>
          <w:szCs w:val="20"/>
        </w:rPr>
        <w:t>Bei Einwirkung größerer Zündquellen wird die entstehende EPS-Schmelze weiter erwärmt und dabei pyrolisiert. Die en</w:t>
      </w:r>
      <w:r w:rsidR="00A914B8" w:rsidRPr="000677D5">
        <w:rPr>
          <w:sz w:val="20"/>
          <w:szCs w:val="20"/>
        </w:rPr>
        <w:t>t</w:t>
      </w:r>
      <w:r w:rsidRPr="000677D5">
        <w:rPr>
          <w:sz w:val="20"/>
          <w:szCs w:val="20"/>
        </w:rPr>
        <w:t>stehenden Gase entzünden sich und können damit zur Brandausbreitung beitragen.</w:t>
      </w:r>
    </w:p>
    <w:p w:rsidR="00D85369" w:rsidRPr="000677D5" w:rsidRDefault="00D85369" w:rsidP="00D85369">
      <w:pPr>
        <w:ind w:left="851"/>
        <w:rPr>
          <w:sz w:val="20"/>
          <w:szCs w:val="20"/>
        </w:rPr>
      </w:pPr>
      <w:r w:rsidRPr="000677D5">
        <w:rPr>
          <w:sz w:val="20"/>
          <w:szCs w:val="20"/>
        </w:rPr>
        <w:t xml:space="preserve">Aus Sicherheitsgründen </w:t>
      </w:r>
      <w:r w:rsidR="00852936" w:rsidRPr="000677D5">
        <w:rPr>
          <w:sz w:val="20"/>
          <w:szCs w:val="20"/>
        </w:rPr>
        <w:t>ist EPS-Hartschaum</w:t>
      </w:r>
      <w:r w:rsidRPr="000677D5">
        <w:rPr>
          <w:sz w:val="20"/>
          <w:szCs w:val="20"/>
        </w:rPr>
        <w:t xml:space="preserve"> von Zündquellen fernzuhalten. Beim Arbeiten mit offener Flamme sollten Feuerlöscher breitstehen.</w:t>
      </w:r>
    </w:p>
    <w:p w:rsidR="00D85369" w:rsidRPr="000677D5" w:rsidRDefault="00D85369" w:rsidP="00D85369">
      <w:pPr>
        <w:pStyle w:val="Listenabsatz"/>
        <w:numPr>
          <w:ilvl w:val="1"/>
          <w:numId w:val="1"/>
        </w:numPr>
        <w:ind w:left="851"/>
        <w:contextualSpacing w:val="0"/>
        <w:rPr>
          <w:sz w:val="20"/>
          <w:szCs w:val="20"/>
        </w:rPr>
      </w:pPr>
      <w:r w:rsidRPr="000677D5">
        <w:rPr>
          <w:sz w:val="20"/>
          <w:szCs w:val="20"/>
        </w:rPr>
        <w:t>Bedingungen zur sicheren Lagerung unter Berücksichtigung von Unverträglichkeiten</w:t>
      </w:r>
    </w:p>
    <w:p w:rsidR="003831C6" w:rsidRPr="000677D5" w:rsidRDefault="003831C6" w:rsidP="003831C6">
      <w:pPr>
        <w:pStyle w:val="Listenabsatz"/>
        <w:numPr>
          <w:ilvl w:val="0"/>
          <w:numId w:val="6"/>
        </w:numPr>
        <w:tabs>
          <w:tab w:val="left" w:pos="1134"/>
        </w:tabs>
        <w:spacing w:after="120"/>
        <w:rPr>
          <w:sz w:val="20"/>
          <w:szCs w:val="20"/>
        </w:rPr>
      </w:pPr>
      <w:r w:rsidRPr="000677D5">
        <w:rPr>
          <w:sz w:val="20"/>
          <w:szCs w:val="20"/>
        </w:rPr>
        <w:t>Lagertemperatur  &lt; 80°C einhalten</w:t>
      </w:r>
    </w:p>
    <w:p w:rsidR="003831C6" w:rsidRPr="000677D5" w:rsidRDefault="003831C6" w:rsidP="003831C6">
      <w:pPr>
        <w:pStyle w:val="Listenabsatz"/>
        <w:numPr>
          <w:ilvl w:val="0"/>
          <w:numId w:val="6"/>
        </w:numPr>
        <w:tabs>
          <w:tab w:val="left" w:pos="1134"/>
        </w:tabs>
        <w:spacing w:after="120"/>
        <w:rPr>
          <w:sz w:val="20"/>
          <w:szCs w:val="20"/>
        </w:rPr>
      </w:pPr>
      <w:r w:rsidRPr="000677D5">
        <w:rPr>
          <w:sz w:val="20"/>
          <w:szCs w:val="20"/>
        </w:rPr>
        <w:t>Unverträglichkeit gegenüber organischen Lösungsmitteln beachten.</w:t>
      </w:r>
    </w:p>
    <w:p w:rsidR="003831C6" w:rsidRPr="000677D5" w:rsidRDefault="003831C6" w:rsidP="003831C6">
      <w:pPr>
        <w:ind w:left="851"/>
        <w:rPr>
          <w:sz w:val="20"/>
          <w:szCs w:val="20"/>
        </w:rPr>
      </w:pPr>
      <w:r w:rsidRPr="000677D5">
        <w:rPr>
          <w:sz w:val="20"/>
          <w:szCs w:val="20"/>
        </w:rPr>
        <w:t>Bei sachgemäßer Lagerung</w:t>
      </w:r>
      <w:r w:rsidR="00852936" w:rsidRPr="000677D5">
        <w:rPr>
          <w:sz w:val="20"/>
          <w:szCs w:val="20"/>
        </w:rPr>
        <w:t xml:space="preserve"> sind</w:t>
      </w:r>
      <w:r w:rsidRPr="000677D5">
        <w:rPr>
          <w:sz w:val="20"/>
          <w:szCs w:val="20"/>
        </w:rPr>
        <w:t xml:space="preserve"> keine besonderen Maßnahmen erforderlich</w:t>
      </w:r>
      <w:r w:rsidR="00852936" w:rsidRPr="000677D5">
        <w:rPr>
          <w:sz w:val="20"/>
          <w:szCs w:val="20"/>
        </w:rPr>
        <w:t>.</w:t>
      </w:r>
    </w:p>
    <w:p w:rsidR="003A42B3" w:rsidRPr="000677D5" w:rsidRDefault="003A42B3" w:rsidP="003A42B3">
      <w:pPr>
        <w:pStyle w:val="Listenabsatz"/>
        <w:numPr>
          <w:ilvl w:val="0"/>
          <w:numId w:val="1"/>
        </w:numPr>
        <w:contextualSpacing w:val="0"/>
        <w:rPr>
          <w:b/>
          <w:sz w:val="20"/>
          <w:szCs w:val="20"/>
        </w:rPr>
      </w:pPr>
      <w:r w:rsidRPr="000677D5">
        <w:rPr>
          <w:b/>
          <w:sz w:val="20"/>
          <w:szCs w:val="20"/>
        </w:rPr>
        <w:t>Begrenzung und Überwachung der Exposition / Persönliche Schutzausrüstung</w:t>
      </w:r>
    </w:p>
    <w:p w:rsidR="003A42B3" w:rsidRPr="000677D5" w:rsidRDefault="003A42B3" w:rsidP="003A42B3">
      <w:pPr>
        <w:ind w:left="426"/>
        <w:rPr>
          <w:sz w:val="20"/>
          <w:szCs w:val="20"/>
        </w:rPr>
      </w:pPr>
      <w:r w:rsidRPr="000677D5">
        <w:rPr>
          <w:sz w:val="20"/>
          <w:szCs w:val="20"/>
        </w:rPr>
        <w:t>Expositionsgrenzwerte nach TRGS 900</w:t>
      </w:r>
      <w:r w:rsidR="00066CF3" w:rsidRPr="000677D5">
        <w:rPr>
          <w:sz w:val="20"/>
          <w:szCs w:val="20"/>
        </w:rPr>
        <w:t xml:space="preserve"> AGW</w:t>
      </w:r>
      <w:r w:rsidRPr="000677D5">
        <w:rPr>
          <w:sz w:val="20"/>
          <w:szCs w:val="20"/>
        </w:rPr>
        <w:t>: Die nachfolgend aufgeführten allgemeinen Staubgrenzwerte sind beim mechanischen Bearbeiten der EPS-Hartschäume, wie beim Fräsen oder Schleifen zu beachten.</w:t>
      </w:r>
    </w:p>
    <w:p w:rsidR="003A42B3" w:rsidRPr="000677D5" w:rsidRDefault="003A42B3" w:rsidP="003A42B3">
      <w:pPr>
        <w:ind w:left="426"/>
        <w:rPr>
          <w:sz w:val="20"/>
          <w:szCs w:val="20"/>
        </w:rPr>
      </w:pPr>
      <w:r w:rsidRPr="000677D5">
        <w:rPr>
          <w:sz w:val="20"/>
          <w:szCs w:val="20"/>
        </w:rPr>
        <w:t>Allgemeiner Staubgrenzwert:</w:t>
      </w:r>
    </w:p>
    <w:p w:rsidR="003A42B3" w:rsidRPr="000677D5" w:rsidRDefault="003A42B3" w:rsidP="003A42B3">
      <w:pPr>
        <w:pStyle w:val="Listenabsatz"/>
        <w:numPr>
          <w:ilvl w:val="0"/>
          <w:numId w:val="7"/>
        </w:numPr>
        <w:tabs>
          <w:tab w:val="left" w:pos="3828"/>
        </w:tabs>
        <w:spacing w:line="280" w:lineRule="auto"/>
        <w:rPr>
          <w:sz w:val="20"/>
          <w:szCs w:val="20"/>
        </w:rPr>
      </w:pPr>
      <w:r w:rsidRPr="000677D5">
        <w:rPr>
          <w:sz w:val="20"/>
          <w:szCs w:val="20"/>
        </w:rPr>
        <w:t xml:space="preserve">alveolengängige Fraktion: </w:t>
      </w:r>
      <w:r w:rsidRPr="000677D5">
        <w:rPr>
          <w:sz w:val="20"/>
          <w:szCs w:val="20"/>
        </w:rPr>
        <w:tab/>
        <w:t>3 mg/m³</w:t>
      </w:r>
    </w:p>
    <w:p w:rsidR="003A42B3" w:rsidRPr="000677D5" w:rsidRDefault="003A42B3" w:rsidP="003A42B3">
      <w:pPr>
        <w:pStyle w:val="Listenabsatz"/>
        <w:numPr>
          <w:ilvl w:val="0"/>
          <w:numId w:val="7"/>
        </w:numPr>
        <w:tabs>
          <w:tab w:val="left" w:pos="3828"/>
        </w:tabs>
        <w:rPr>
          <w:sz w:val="20"/>
          <w:szCs w:val="20"/>
        </w:rPr>
      </w:pPr>
      <w:r w:rsidRPr="000677D5">
        <w:rPr>
          <w:sz w:val="20"/>
          <w:szCs w:val="20"/>
        </w:rPr>
        <w:t xml:space="preserve">einatembare Fraktion: </w:t>
      </w:r>
      <w:r w:rsidRPr="000677D5">
        <w:rPr>
          <w:sz w:val="20"/>
          <w:szCs w:val="20"/>
        </w:rPr>
        <w:tab/>
        <w:t>10 mg/m³</w:t>
      </w:r>
    </w:p>
    <w:p w:rsidR="003A42B3" w:rsidRPr="000677D5" w:rsidRDefault="003A42B3" w:rsidP="003A42B3">
      <w:pPr>
        <w:pStyle w:val="Listenabsatz"/>
        <w:numPr>
          <w:ilvl w:val="0"/>
          <w:numId w:val="7"/>
        </w:numPr>
        <w:tabs>
          <w:tab w:val="left" w:pos="3828"/>
        </w:tabs>
        <w:rPr>
          <w:sz w:val="20"/>
          <w:szCs w:val="20"/>
        </w:rPr>
      </w:pPr>
      <w:r w:rsidRPr="000677D5">
        <w:rPr>
          <w:sz w:val="20"/>
          <w:szCs w:val="20"/>
        </w:rPr>
        <w:t>Spitzenbegrenzung:</w:t>
      </w:r>
      <w:r w:rsidRPr="000677D5">
        <w:rPr>
          <w:sz w:val="20"/>
          <w:szCs w:val="20"/>
        </w:rPr>
        <w:tab/>
        <w:t xml:space="preserve">Überschreitungsfaktor 2(II)  </w:t>
      </w:r>
    </w:p>
    <w:p w:rsidR="003C697B" w:rsidRPr="000677D5" w:rsidRDefault="003A42B3" w:rsidP="003A42B3">
      <w:pPr>
        <w:ind w:left="426"/>
        <w:rPr>
          <w:sz w:val="20"/>
          <w:szCs w:val="20"/>
        </w:rPr>
      </w:pPr>
      <w:r w:rsidRPr="000677D5">
        <w:rPr>
          <w:sz w:val="20"/>
          <w:szCs w:val="20"/>
        </w:rPr>
        <w:t xml:space="preserve">Die </w:t>
      </w:r>
      <w:r w:rsidR="003C697B" w:rsidRPr="000677D5">
        <w:rPr>
          <w:sz w:val="20"/>
          <w:szCs w:val="20"/>
        </w:rPr>
        <w:t>unter 8a) und 8b)</w:t>
      </w:r>
      <w:r w:rsidRPr="000677D5">
        <w:rPr>
          <w:sz w:val="20"/>
          <w:szCs w:val="20"/>
        </w:rPr>
        <w:t xml:space="preserve"> aufgeführten Arbeitsplatzgrenzwerte für Pentan und Styrol </w:t>
      </w:r>
      <w:r w:rsidR="00506FD3" w:rsidRPr="000677D5">
        <w:rPr>
          <w:sz w:val="20"/>
          <w:szCs w:val="20"/>
        </w:rPr>
        <w:t>stehen für</w:t>
      </w:r>
      <w:r w:rsidRPr="000677D5">
        <w:rPr>
          <w:sz w:val="20"/>
          <w:szCs w:val="20"/>
        </w:rPr>
        <w:t xml:space="preserve"> </w:t>
      </w:r>
      <w:r w:rsidR="00506FD3" w:rsidRPr="000677D5">
        <w:rPr>
          <w:sz w:val="20"/>
          <w:szCs w:val="20"/>
        </w:rPr>
        <w:t>die reinen Stoffwert</w:t>
      </w:r>
      <w:r w:rsidR="003C697B" w:rsidRPr="000677D5">
        <w:rPr>
          <w:sz w:val="20"/>
          <w:szCs w:val="20"/>
        </w:rPr>
        <w:t xml:space="preserve">e für Pentan und Styrol, d. h. sie sind hinsichtlich der Produktion der Platten zu berücksichtigen. In dem vorliegenden Informationsblatt </w:t>
      </w:r>
      <w:r w:rsidRPr="000677D5">
        <w:rPr>
          <w:sz w:val="20"/>
          <w:szCs w:val="20"/>
        </w:rPr>
        <w:t>dienen</w:t>
      </w:r>
      <w:r w:rsidR="003C697B" w:rsidRPr="000677D5">
        <w:rPr>
          <w:sz w:val="20"/>
          <w:szCs w:val="20"/>
        </w:rPr>
        <w:t xml:space="preserve"> sie</w:t>
      </w:r>
      <w:r w:rsidRPr="000677D5">
        <w:rPr>
          <w:sz w:val="20"/>
          <w:szCs w:val="20"/>
        </w:rPr>
        <w:t xml:space="preserve"> </w:t>
      </w:r>
      <w:r w:rsidR="003C697B" w:rsidRPr="000677D5">
        <w:rPr>
          <w:sz w:val="20"/>
          <w:szCs w:val="20"/>
        </w:rPr>
        <w:t>ausschließlich z</w:t>
      </w:r>
      <w:r w:rsidRPr="000677D5">
        <w:rPr>
          <w:sz w:val="20"/>
          <w:szCs w:val="20"/>
        </w:rPr>
        <w:t>ur Ver</w:t>
      </w:r>
      <w:r w:rsidR="003C697B" w:rsidRPr="000677D5">
        <w:rPr>
          <w:sz w:val="20"/>
          <w:szCs w:val="20"/>
        </w:rPr>
        <w:t>vollständigung.</w:t>
      </w:r>
    </w:p>
    <w:p w:rsidR="003A42B3" w:rsidRPr="000677D5" w:rsidRDefault="003A42B3" w:rsidP="003C697B">
      <w:pPr>
        <w:pStyle w:val="Listenabsatz"/>
        <w:numPr>
          <w:ilvl w:val="0"/>
          <w:numId w:val="14"/>
        </w:numPr>
        <w:rPr>
          <w:sz w:val="20"/>
          <w:szCs w:val="20"/>
        </w:rPr>
      </w:pPr>
      <w:r w:rsidRPr="000677D5">
        <w:rPr>
          <w:sz w:val="20"/>
          <w:szCs w:val="20"/>
        </w:rPr>
        <w:t>Pentan / Isopentan</w:t>
      </w:r>
    </w:p>
    <w:p w:rsidR="003A42B3" w:rsidRPr="000677D5" w:rsidRDefault="003A42B3" w:rsidP="003A42B3">
      <w:pPr>
        <w:pStyle w:val="Listenabsatz"/>
        <w:numPr>
          <w:ilvl w:val="0"/>
          <w:numId w:val="7"/>
        </w:numPr>
        <w:tabs>
          <w:tab w:val="left" w:pos="3828"/>
        </w:tabs>
        <w:spacing w:after="0" w:line="281" w:lineRule="auto"/>
        <w:ind w:left="1145" w:hanging="357"/>
        <w:rPr>
          <w:sz w:val="20"/>
          <w:szCs w:val="20"/>
        </w:rPr>
      </w:pPr>
      <w:r w:rsidRPr="000677D5">
        <w:rPr>
          <w:sz w:val="20"/>
          <w:szCs w:val="20"/>
        </w:rPr>
        <w:t xml:space="preserve">AGW: </w:t>
      </w:r>
      <w:r w:rsidRPr="000677D5">
        <w:rPr>
          <w:sz w:val="20"/>
          <w:szCs w:val="20"/>
        </w:rPr>
        <w:tab/>
        <w:t>1000 ml/m³</w:t>
      </w:r>
    </w:p>
    <w:p w:rsidR="003A42B3" w:rsidRPr="000677D5" w:rsidRDefault="003A42B3" w:rsidP="003A42B3">
      <w:pPr>
        <w:tabs>
          <w:tab w:val="left" w:pos="3828"/>
        </w:tabs>
        <w:spacing w:after="0" w:line="281" w:lineRule="auto"/>
        <w:ind w:left="1145" w:hanging="357"/>
        <w:contextualSpacing/>
        <w:rPr>
          <w:sz w:val="20"/>
          <w:szCs w:val="20"/>
        </w:rPr>
      </w:pPr>
      <w:r w:rsidRPr="000677D5">
        <w:rPr>
          <w:sz w:val="20"/>
          <w:szCs w:val="20"/>
        </w:rPr>
        <w:tab/>
      </w:r>
      <w:r w:rsidRPr="000677D5">
        <w:rPr>
          <w:sz w:val="20"/>
          <w:szCs w:val="20"/>
        </w:rPr>
        <w:tab/>
        <w:t>3000 mg/m³</w:t>
      </w:r>
    </w:p>
    <w:p w:rsidR="003A42B3" w:rsidRPr="000677D5" w:rsidRDefault="003A42B3" w:rsidP="003A42B3">
      <w:pPr>
        <w:pStyle w:val="Listenabsatz"/>
        <w:numPr>
          <w:ilvl w:val="0"/>
          <w:numId w:val="7"/>
        </w:numPr>
        <w:tabs>
          <w:tab w:val="left" w:pos="3828"/>
        </w:tabs>
        <w:spacing w:line="280" w:lineRule="auto"/>
        <w:rPr>
          <w:sz w:val="20"/>
          <w:szCs w:val="20"/>
        </w:rPr>
      </w:pPr>
      <w:r w:rsidRPr="000677D5">
        <w:rPr>
          <w:sz w:val="20"/>
          <w:szCs w:val="20"/>
        </w:rPr>
        <w:t xml:space="preserve">Spitzenbegrenzung: </w:t>
      </w:r>
      <w:r w:rsidRPr="000677D5">
        <w:rPr>
          <w:sz w:val="20"/>
          <w:szCs w:val="20"/>
        </w:rPr>
        <w:tab/>
        <w:t>Überschreitungsfaktor 2(II)</w:t>
      </w:r>
    </w:p>
    <w:p w:rsidR="003A42B3" w:rsidRPr="000677D5" w:rsidRDefault="003A42B3" w:rsidP="003C697B">
      <w:pPr>
        <w:pStyle w:val="Listenabsatz"/>
        <w:numPr>
          <w:ilvl w:val="0"/>
          <w:numId w:val="14"/>
        </w:numPr>
        <w:rPr>
          <w:sz w:val="20"/>
          <w:szCs w:val="20"/>
        </w:rPr>
      </w:pPr>
      <w:r w:rsidRPr="000677D5">
        <w:rPr>
          <w:sz w:val="20"/>
          <w:szCs w:val="20"/>
        </w:rPr>
        <w:t>Styrol</w:t>
      </w:r>
    </w:p>
    <w:p w:rsidR="003A42B3" w:rsidRPr="000677D5" w:rsidRDefault="003A42B3" w:rsidP="003A42B3">
      <w:pPr>
        <w:pStyle w:val="Listenabsatz"/>
        <w:numPr>
          <w:ilvl w:val="0"/>
          <w:numId w:val="7"/>
        </w:numPr>
        <w:tabs>
          <w:tab w:val="left" w:pos="3828"/>
        </w:tabs>
        <w:spacing w:after="0" w:line="281" w:lineRule="auto"/>
        <w:ind w:left="1145" w:hanging="357"/>
        <w:rPr>
          <w:sz w:val="20"/>
          <w:szCs w:val="20"/>
        </w:rPr>
      </w:pPr>
      <w:r w:rsidRPr="000677D5">
        <w:rPr>
          <w:sz w:val="20"/>
          <w:szCs w:val="20"/>
        </w:rPr>
        <w:t xml:space="preserve">AGW: </w:t>
      </w:r>
      <w:r w:rsidRPr="000677D5">
        <w:rPr>
          <w:sz w:val="20"/>
          <w:szCs w:val="20"/>
        </w:rPr>
        <w:tab/>
        <w:t>20 ml/m³</w:t>
      </w:r>
    </w:p>
    <w:p w:rsidR="003A42B3" w:rsidRPr="000677D5" w:rsidRDefault="003A42B3" w:rsidP="003A42B3">
      <w:pPr>
        <w:tabs>
          <w:tab w:val="left" w:pos="3828"/>
        </w:tabs>
        <w:spacing w:after="0" w:line="281" w:lineRule="auto"/>
        <w:ind w:left="1145" w:hanging="357"/>
        <w:contextualSpacing/>
        <w:rPr>
          <w:sz w:val="20"/>
          <w:szCs w:val="20"/>
        </w:rPr>
      </w:pPr>
      <w:r w:rsidRPr="000677D5">
        <w:rPr>
          <w:sz w:val="20"/>
          <w:szCs w:val="20"/>
        </w:rPr>
        <w:tab/>
      </w:r>
      <w:r w:rsidRPr="000677D5">
        <w:rPr>
          <w:sz w:val="20"/>
          <w:szCs w:val="20"/>
        </w:rPr>
        <w:tab/>
        <w:t>86 mg/m³</w:t>
      </w:r>
    </w:p>
    <w:p w:rsidR="003A42B3" w:rsidRPr="000677D5" w:rsidRDefault="003A42B3" w:rsidP="003A42B3">
      <w:pPr>
        <w:pStyle w:val="Listenabsatz"/>
        <w:numPr>
          <w:ilvl w:val="0"/>
          <w:numId w:val="7"/>
        </w:numPr>
        <w:tabs>
          <w:tab w:val="left" w:pos="3828"/>
        </w:tabs>
        <w:spacing w:line="280" w:lineRule="auto"/>
        <w:rPr>
          <w:sz w:val="20"/>
          <w:szCs w:val="20"/>
        </w:rPr>
      </w:pPr>
      <w:r w:rsidRPr="000677D5">
        <w:rPr>
          <w:sz w:val="20"/>
          <w:szCs w:val="20"/>
        </w:rPr>
        <w:t xml:space="preserve">Spitzenbegrenzung: </w:t>
      </w:r>
      <w:r w:rsidRPr="000677D5">
        <w:rPr>
          <w:sz w:val="20"/>
          <w:szCs w:val="20"/>
        </w:rPr>
        <w:tab/>
        <w:t>Überschreitungsfaktor 2(II)</w:t>
      </w:r>
    </w:p>
    <w:p w:rsidR="00A914B8" w:rsidRPr="000677D5" w:rsidRDefault="003A42B3" w:rsidP="003A42B3">
      <w:pPr>
        <w:ind w:left="851" w:hanging="45"/>
        <w:rPr>
          <w:sz w:val="20"/>
          <w:szCs w:val="20"/>
        </w:rPr>
      </w:pPr>
      <w:r w:rsidRPr="000677D5">
        <w:rPr>
          <w:sz w:val="20"/>
          <w:szCs w:val="20"/>
        </w:rPr>
        <w:t>Y – Stoffe, bei denen ein Risiko der Fruchtschädigung bei Einhaltung des Arbeitsplatzgrenzwertes(AWG) und des biologischen Grenzwertes(BGW) nicht zu befürchten ist.</w:t>
      </w:r>
    </w:p>
    <w:p w:rsidR="00A914B8" w:rsidRPr="000677D5" w:rsidRDefault="00A914B8">
      <w:pPr>
        <w:rPr>
          <w:sz w:val="20"/>
          <w:szCs w:val="20"/>
        </w:rPr>
      </w:pPr>
      <w:r w:rsidRPr="000677D5">
        <w:rPr>
          <w:sz w:val="20"/>
          <w:szCs w:val="20"/>
        </w:rPr>
        <w:br w:type="page"/>
      </w:r>
    </w:p>
    <w:p w:rsidR="003A42B3" w:rsidRPr="000677D5" w:rsidRDefault="003A42B3" w:rsidP="00F27338">
      <w:pPr>
        <w:pStyle w:val="Listenabsatz"/>
        <w:numPr>
          <w:ilvl w:val="0"/>
          <w:numId w:val="14"/>
        </w:numPr>
        <w:rPr>
          <w:sz w:val="20"/>
          <w:szCs w:val="20"/>
        </w:rPr>
      </w:pPr>
      <w:r w:rsidRPr="000677D5">
        <w:rPr>
          <w:sz w:val="20"/>
          <w:szCs w:val="20"/>
        </w:rPr>
        <w:lastRenderedPageBreak/>
        <w:t>Angaben zur persönlichen Schutzausrüstung</w:t>
      </w:r>
    </w:p>
    <w:p w:rsidR="003A42B3" w:rsidRPr="000677D5" w:rsidRDefault="003A42B3" w:rsidP="003A42B3">
      <w:pPr>
        <w:pStyle w:val="Listenabsatz"/>
        <w:numPr>
          <w:ilvl w:val="0"/>
          <w:numId w:val="7"/>
        </w:numPr>
        <w:rPr>
          <w:sz w:val="20"/>
          <w:szCs w:val="20"/>
        </w:rPr>
      </w:pPr>
      <w:r w:rsidRPr="000677D5">
        <w:rPr>
          <w:sz w:val="20"/>
          <w:szCs w:val="20"/>
        </w:rPr>
        <w:t xml:space="preserve">Atemschutz: </w:t>
      </w:r>
      <w:r w:rsidRPr="000677D5">
        <w:rPr>
          <w:sz w:val="20"/>
          <w:szCs w:val="20"/>
        </w:rPr>
        <w:tab/>
        <w:t>Erforderlich beim Auftreten von Stäuben. Filter P1 (EN 143)</w:t>
      </w:r>
    </w:p>
    <w:p w:rsidR="003A42B3" w:rsidRPr="000677D5" w:rsidRDefault="003A42B3" w:rsidP="003A42B3">
      <w:pPr>
        <w:pStyle w:val="Listenabsatz"/>
        <w:numPr>
          <w:ilvl w:val="0"/>
          <w:numId w:val="7"/>
        </w:numPr>
        <w:rPr>
          <w:sz w:val="20"/>
          <w:szCs w:val="20"/>
        </w:rPr>
      </w:pPr>
      <w:r w:rsidRPr="000677D5">
        <w:rPr>
          <w:sz w:val="20"/>
          <w:szCs w:val="20"/>
        </w:rPr>
        <w:t xml:space="preserve">Augenschutz: </w:t>
      </w:r>
      <w:r w:rsidRPr="000677D5">
        <w:rPr>
          <w:sz w:val="20"/>
          <w:szCs w:val="20"/>
        </w:rPr>
        <w:tab/>
        <w:t>Nicht erforderlich</w:t>
      </w:r>
    </w:p>
    <w:p w:rsidR="003A42B3" w:rsidRPr="000677D5" w:rsidRDefault="003A42B3" w:rsidP="003A42B3">
      <w:pPr>
        <w:pStyle w:val="Listenabsatz"/>
        <w:numPr>
          <w:ilvl w:val="0"/>
          <w:numId w:val="7"/>
        </w:numPr>
        <w:rPr>
          <w:sz w:val="20"/>
          <w:szCs w:val="20"/>
        </w:rPr>
      </w:pPr>
      <w:r w:rsidRPr="000677D5">
        <w:rPr>
          <w:sz w:val="20"/>
          <w:szCs w:val="20"/>
        </w:rPr>
        <w:t>Handschutz:</w:t>
      </w:r>
      <w:r w:rsidRPr="000677D5">
        <w:rPr>
          <w:sz w:val="20"/>
          <w:szCs w:val="20"/>
        </w:rPr>
        <w:tab/>
        <w:t>Nicht erforderlich</w:t>
      </w:r>
      <w:r w:rsidR="00F27338" w:rsidRPr="000677D5">
        <w:rPr>
          <w:sz w:val="20"/>
          <w:szCs w:val="20"/>
        </w:rPr>
        <w:br/>
      </w:r>
    </w:p>
    <w:p w:rsidR="003A42B3" w:rsidRPr="000677D5" w:rsidRDefault="003A42B3" w:rsidP="00F27338">
      <w:pPr>
        <w:pStyle w:val="Listenabsatz"/>
        <w:numPr>
          <w:ilvl w:val="0"/>
          <w:numId w:val="14"/>
        </w:numPr>
        <w:rPr>
          <w:sz w:val="20"/>
          <w:szCs w:val="20"/>
        </w:rPr>
      </w:pPr>
      <w:r w:rsidRPr="000677D5">
        <w:rPr>
          <w:sz w:val="20"/>
          <w:szCs w:val="20"/>
        </w:rPr>
        <w:t>Angaben zur Arbeitshygiene</w:t>
      </w:r>
    </w:p>
    <w:p w:rsidR="003A42B3" w:rsidRPr="000677D5" w:rsidRDefault="003A42B3" w:rsidP="003A42B3">
      <w:pPr>
        <w:pStyle w:val="Listenabsatz"/>
        <w:numPr>
          <w:ilvl w:val="0"/>
          <w:numId w:val="7"/>
        </w:numPr>
        <w:rPr>
          <w:sz w:val="20"/>
          <w:szCs w:val="20"/>
        </w:rPr>
      </w:pPr>
      <w:r w:rsidRPr="000677D5">
        <w:rPr>
          <w:sz w:val="20"/>
          <w:szCs w:val="20"/>
        </w:rPr>
        <w:t>Am Arbeitsplatz nicht essen, trinken oder rauchen.</w:t>
      </w:r>
    </w:p>
    <w:p w:rsidR="003A42B3" w:rsidRPr="000677D5" w:rsidRDefault="003A42B3" w:rsidP="003A42B3">
      <w:pPr>
        <w:pStyle w:val="Listenabsatz"/>
        <w:numPr>
          <w:ilvl w:val="0"/>
          <w:numId w:val="7"/>
        </w:numPr>
        <w:rPr>
          <w:sz w:val="20"/>
          <w:szCs w:val="20"/>
        </w:rPr>
      </w:pPr>
      <w:r w:rsidRPr="000677D5">
        <w:rPr>
          <w:sz w:val="20"/>
          <w:szCs w:val="20"/>
        </w:rPr>
        <w:t>Nach Arbeitsende Hände und Gesicht waschen.</w:t>
      </w:r>
    </w:p>
    <w:p w:rsidR="003A42B3" w:rsidRPr="000677D5" w:rsidRDefault="003A42B3" w:rsidP="003A42B3">
      <w:pPr>
        <w:pStyle w:val="Listenabsatz"/>
        <w:numPr>
          <w:ilvl w:val="0"/>
          <w:numId w:val="7"/>
        </w:numPr>
        <w:ind w:left="1145" w:hanging="357"/>
        <w:contextualSpacing w:val="0"/>
        <w:rPr>
          <w:sz w:val="20"/>
          <w:szCs w:val="20"/>
        </w:rPr>
      </w:pPr>
      <w:r w:rsidRPr="000677D5">
        <w:rPr>
          <w:sz w:val="20"/>
          <w:szCs w:val="20"/>
        </w:rPr>
        <w:t>Zum vorbeugenden Hautschutz Verwendung von Hautschutzpflegemitteln entsprechend der Empfehlungen der Berufsgenossenschaften</w:t>
      </w:r>
    </w:p>
    <w:p w:rsidR="00B60F77" w:rsidRPr="000677D5" w:rsidRDefault="00B60F77" w:rsidP="009424EE">
      <w:pPr>
        <w:ind w:left="426"/>
        <w:rPr>
          <w:sz w:val="20"/>
          <w:szCs w:val="20"/>
        </w:rPr>
      </w:pPr>
      <w:r w:rsidRPr="000677D5">
        <w:rPr>
          <w:sz w:val="20"/>
          <w:szCs w:val="20"/>
        </w:rPr>
        <w:t>Beim bestimmungsgemäßen Gebrauch der EPS-Hartschäume, werden diese Werte deutlich unterschritten oder treten nicht mehr in Erscheinung.</w:t>
      </w:r>
    </w:p>
    <w:p w:rsidR="009424EE" w:rsidRPr="000677D5" w:rsidRDefault="009424EE" w:rsidP="009424EE">
      <w:pPr>
        <w:ind w:left="426"/>
        <w:rPr>
          <w:sz w:val="20"/>
          <w:szCs w:val="20"/>
        </w:rPr>
      </w:pPr>
    </w:p>
    <w:p w:rsidR="003A42B3" w:rsidRPr="000677D5" w:rsidRDefault="003A42B3" w:rsidP="003A42B3">
      <w:pPr>
        <w:pStyle w:val="Listenabsatz"/>
        <w:numPr>
          <w:ilvl w:val="0"/>
          <w:numId w:val="1"/>
        </w:numPr>
        <w:contextualSpacing w:val="0"/>
        <w:rPr>
          <w:b/>
          <w:sz w:val="20"/>
          <w:szCs w:val="20"/>
        </w:rPr>
      </w:pPr>
      <w:r w:rsidRPr="000677D5">
        <w:rPr>
          <w:b/>
          <w:sz w:val="20"/>
          <w:szCs w:val="20"/>
        </w:rPr>
        <w:t>Physikalische und chemische Eigenschaften</w:t>
      </w:r>
    </w:p>
    <w:p w:rsidR="003A42B3" w:rsidRPr="000677D5" w:rsidRDefault="003A42B3" w:rsidP="003A42B3">
      <w:pPr>
        <w:tabs>
          <w:tab w:val="left" w:pos="4395"/>
        </w:tabs>
        <w:spacing w:after="0"/>
        <w:ind w:left="720"/>
        <w:rPr>
          <w:sz w:val="20"/>
          <w:szCs w:val="20"/>
        </w:rPr>
      </w:pPr>
      <w:r w:rsidRPr="000677D5">
        <w:rPr>
          <w:sz w:val="20"/>
          <w:szCs w:val="20"/>
        </w:rPr>
        <w:t>Aggregatzustand:</w:t>
      </w:r>
      <w:r w:rsidRPr="000677D5">
        <w:rPr>
          <w:sz w:val="20"/>
          <w:szCs w:val="20"/>
        </w:rPr>
        <w:tab/>
        <w:t>fest, geschlossene Zellstruktur</w:t>
      </w:r>
    </w:p>
    <w:p w:rsidR="003A42B3" w:rsidRPr="000677D5" w:rsidRDefault="003A42B3" w:rsidP="003A42B3">
      <w:pPr>
        <w:tabs>
          <w:tab w:val="left" w:pos="4395"/>
        </w:tabs>
        <w:spacing w:after="0"/>
        <w:ind w:left="720"/>
        <w:rPr>
          <w:sz w:val="20"/>
          <w:szCs w:val="20"/>
        </w:rPr>
      </w:pPr>
      <w:r w:rsidRPr="000677D5">
        <w:rPr>
          <w:sz w:val="20"/>
          <w:szCs w:val="20"/>
        </w:rPr>
        <w:t>Form:</w:t>
      </w:r>
      <w:r w:rsidRPr="000677D5">
        <w:rPr>
          <w:sz w:val="20"/>
          <w:szCs w:val="20"/>
        </w:rPr>
        <w:tab/>
        <w:t>Blöcke, Platten, Formteile, Perlen</w:t>
      </w:r>
    </w:p>
    <w:p w:rsidR="003A42B3" w:rsidRPr="000677D5" w:rsidRDefault="00D43915" w:rsidP="003A42B3">
      <w:pPr>
        <w:tabs>
          <w:tab w:val="left" w:pos="4395"/>
        </w:tabs>
        <w:spacing w:after="0"/>
        <w:ind w:left="720"/>
        <w:rPr>
          <w:sz w:val="20"/>
          <w:szCs w:val="20"/>
        </w:rPr>
      </w:pPr>
      <w:r w:rsidRPr="000677D5">
        <w:rPr>
          <w:sz w:val="20"/>
          <w:szCs w:val="20"/>
        </w:rPr>
        <w:t>Farbe:</w:t>
      </w:r>
      <w:r w:rsidRPr="000677D5">
        <w:rPr>
          <w:sz w:val="20"/>
          <w:szCs w:val="20"/>
        </w:rPr>
        <w:tab/>
        <w:t>weiße</w:t>
      </w:r>
      <w:r w:rsidR="003A42B3" w:rsidRPr="000677D5">
        <w:rPr>
          <w:sz w:val="20"/>
          <w:szCs w:val="20"/>
        </w:rPr>
        <w:t xml:space="preserve"> Erzeugnisse</w:t>
      </w:r>
    </w:p>
    <w:p w:rsidR="003A42B3" w:rsidRPr="000677D5" w:rsidRDefault="003A42B3" w:rsidP="003A42B3">
      <w:pPr>
        <w:tabs>
          <w:tab w:val="left" w:pos="4395"/>
        </w:tabs>
        <w:spacing w:after="0"/>
        <w:ind w:left="720"/>
        <w:rPr>
          <w:sz w:val="20"/>
          <w:szCs w:val="20"/>
        </w:rPr>
      </w:pPr>
      <w:r w:rsidRPr="000677D5">
        <w:rPr>
          <w:sz w:val="20"/>
          <w:szCs w:val="20"/>
        </w:rPr>
        <w:t>Geruch:</w:t>
      </w:r>
      <w:r w:rsidRPr="000677D5">
        <w:rPr>
          <w:sz w:val="20"/>
          <w:szCs w:val="20"/>
        </w:rPr>
        <w:tab/>
        <w:t>schwacher Eigengeruch</w:t>
      </w:r>
    </w:p>
    <w:p w:rsidR="003A42B3" w:rsidRPr="000677D5" w:rsidRDefault="003A42B3" w:rsidP="003A42B3">
      <w:pPr>
        <w:tabs>
          <w:tab w:val="left" w:pos="4395"/>
        </w:tabs>
        <w:spacing w:after="0"/>
        <w:ind w:left="720"/>
        <w:rPr>
          <w:sz w:val="20"/>
          <w:szCs w:val="20"/>
        </w:rPr>
      </w:pPr>
      <w:r w:rsidRPr="000677D5">
        <w:rPr>
          <w:sz w:val="20"/>
          <w:szCs w:val="20"/>
        </w:rPr>
        <w:t>pH-Wert:</w:t>
      </w:r>
      <w:r w:rsidRPr="000677D5">
        <w:rPr>
          <w:sz w:val="20"/>
          <w:szCs w:val="20"/>
        </w:rPr>
        <w:tab/>
        <w:t>nicht anwendbar</w:t>
      </w:r>
    </w:p>
    <w:p w:rsidR="003A42B3" w:rsidRPr="000677D5" w:rsidRDefault="003A42B3" w:rsidP="003A42B3">
      <w:pPr>
        <w:tabs>
          <w:tab w:val="left" w:pos="4395"/>
        </w:tabs>
        <w:spacing w:after="0"/>
        <w:ind w:left="720"/>
        <w:rPr>
          <w:sz w:val="20"/>
          <w:szCs w:val="20"/>
        </w:rPr>
      </w:pPr>
      <w:r w:rsidRPr="000677D5">
        <w:rPr>
          <w:sz w:val="20"/>
          <w:szCs w:val="20"/>
        </w:rPr>
        <w:t>Erweichungstemperatur:</w:t>
      </w:r>
      <w:r w:rsidRPr="000677D5">
        <w:rPr>
          <w:sz w:val="20"/>
          <w:szCs w:val="20"/>
        </w:rPr>
        <w:tab/>
        <w:t>85°C – 100°C</w:t>
      </w:r>
    </w:p>
    <w:p w:rsidR="003A42B3" w:rsidRPr="000677D5" w:rsidRDefault="003A42B3" w:rsidP="003A42B3">
      <w:pPr>
        <w:tabs>
          <w:tab w:val="left" w:pos="4395"/>
        </w:tabs>
        <w:spacing w:after="0"/>
        <w:ind w:left="720"/>
        <w:rPr>
          <w:sz w:val="20"/>
          <w:szCs w:val="20"/>
        </w:rPr>
      </w:pPr>
      <w:r w:rsidRPr="000677D5">
        <w:rPr>
          <w:sz w:val="20"/>
          <w:szCs w:val="20"/>
        </w:rPr>
        <w:t>Siedetemperatur:</w:t>
      </w:r>
      <w:r w:rsidRPr="000677D5">
        <w:rPr>
          <w:sz w:val="20"/>
          <w:szCs w:val="20"/>
        </w:rPr>
        <w:tab/>
        <w:t>nicht anwendbar</w:t>
      </w:r>
    </w:p>
    <w:p w:rsidR="003A42B3" w:rsidRPr="000677D5" w:rsidRDefault="00066CF3" w:rsidP="003A42B3">
      <w:pPr>
        <w:tabs>
          <w:tab w:val="left" w:pos="4395"/>
        </w:tabs>
        <w:spacing w:after="0"/>
        <w:ind w:left="720"/>
        <w:rPr>
          <w:sz w:val="20"/>
          <w:szCs w:val="20"/>
        </w:rPr>
      </w:pPr>
      <w:r w:rsidRPr="000677D5">
        <w:rPr>
          <w:sz w:val="20"/>
          <w:szCs w:val="20"/>
        </w:rPr>
        <w:t>Zündtemperatur:</w:t>
      </w:r>
      <w:r w:rsidRPr="000677D5">
        <w:rPr>
          <w:sz w:val="20"/>
          <w:szCs w:val="20"/>
        </w:rPr>
        <w:tab/>
        <w:t>ca. 450</w:t>
      </w:r>
      <w:r w:rsidR="003A42B3" w:rsidRPr="000677D5">
        <w:rPr>
          <w:sz w:val="20"/>
          <w:szCs w:val="20"/>
        </w:rPr>
        <w:t xml:space="preserve"> °C</w:t>
      </w:r>
    </w:p>
    <w:p w:rsidR="003A42B3" w:rsidRPr="000677D5" w:rsidRDefault="00066CF3" w:rsidP="003A42B3">
      <w:pPr>
        <w:tabs>
          <w:tab w:val="left" w:pos="4395"/>
        </w:tabs>
        <w:spacing w:after="0"/>
        <w:ind w:left="720"/>
        <w:rPr>
          <w:sz w:val="20"/>
          <w:szCs w:val="20"/>
        </w:rPr>
      </w:pPr>
      <w:r w:rsidRPr="000677D5">
        <w:rPr>
          <w:sz w:val="20"/>
          <w:szCs w:val="20"/>
        </w:rPr>
        <w:t>Flammpunkt:</w:t>
      </w:r>
      <w:r w:rsidRPr="000677D5">
        <w:rPr>
          <w:sz w:val="20"/>
          <w:szCs w:val="20"/>
        </w:rPr>
        <w:tab/>
        <w:t>ca. 370</w:t>
      </w:r>
      <w:r w:rsidR="003A42B3" w:rsidRPr="000677D5">
        <w:rPr>
          <w:sz w:val="20"/>
          <w:szCs w:val="20"/>
        </w:rPr>
        <w:t xml:space="preserve"> °C</w:t>
      </w:r>
    </w:p>
    <w:p w:rsidR="003A42B3" w:rsidRPr="000677D5" w:rsidRDefault="00066CF3" w:rsidP="003A42B3">
      <w:pPr>
        <w:tabs>
          <w:tab w:val="left" w:pos="4395"/>
        </w:tabs>
        <w:spacing w:after="0"/>
        <w:ind w:left="720"/>
        <w:rPr>
          <w:sz w:val="20"/>
          <w:szCs w:val="20"/>
        </w:rPr>
      </w:pPr>
      <w:r w:rsidRPr="000677D5">
        <w:rPr>
          <w:sz w:val="20"/>
          <w:szCs w:val="20"/>
        </w:rPr>
        <w:t>Rohdichte:</w:t>
      </w:r>
      <w:r w:rsidRPr="000677D5">
        <w:rPr>
          <w:sz w:val="20"/>
          <w:szCs w:val="20"/>
        </w:rPr>
        <w:tab/>
        <w:t>10 bis 50</w:t>
      </w:r>
      <w:r w:rsidR="003A42B3" w:rsidRPr="000677D5">
        <w:rPr>
          <w:sz w:val="20"/>
          <w:szCs w:val="20"/>
        </w:rPr>
        <w:t xml:space="preserve"> kg/m³ </w:t>
      </w:r>
    </w:p>
    <w:p w:rsidR="003A42B3" w:rsidRPr="000677D5" w:rsidRDefault="003A42B3" w:rsidP="003A42B3">
      <w:pPr>
        <w:tabs>
          <w:tab w:val="left" w:pos="4395"/>
        </w:tabs>
        <w:ind w:left="4395" w:hanging="3686"/>
        <w:rPr>
          <w:sz w:val="20"/>
          <w:szCs w:val="20"/>
        </w:rPr>
      </w:pPr>
      <w:r w:rsidRPr="000677D5">
        <w:rPr>
          <w:sz w:val="20"/>
          <w:szCs w:val="20"/>
        </w:rPr>
        <w:t>Löslichkeit:</w:t>
      </w:r>
      <w:r w:rsidRPr="000677D5">
        <w:rPr>
          <w:sz w:val="20"/>
          <w:szCs w:val="20"/>
        </w:rPr>
        <w:tab/>
        <w:t>unlöslich in Wasser; löslich in verschiedenen organischen Lösungsmitteln und aromatischen Kohlenwasserstoffen</w:t>
      </w:r>
    </w:p>
    <w:p w:rsidR="003A42B3" w:rsidRPr="000677D5" w:rsidRDefault="003A42B3" w:rsidP="003A42B3">
      <w:pPr>
        <w:pStyle w:val="Listenabsatz"/>
        <w:numPr>
          <w:ilvl w:val="0"/>
          <w:numId w:val="1"/>
        </w:numPr>
        <w:contextualSpacing w:val="0"/>
        <w:rPr>
          <w:b/>
          <w:sz w:val="20"/>
          <w:szCs w:val="20"/>
        </w:rPr>
      </w:pPr>
      <w:r w:rsidRPr="000677D5">
        <w:rPr>
          <w:b/>
          <w:sz w:val="20"/>
          <w:szCs w:val="20"/>
        </w:rPr>
        <w:t>Stabilität und Reaktivität</w:t>
      </w:r>
    </w:p>
    <w:p w:rsidR="003A42B3" w:rsidRPr="000677D5" w:rsidRDefault="003A42B3" w:rsidP="003A42B3">
      <w:pPr>
        <w:ind w:left="426"/>
        <w:rPr>
          <w:sz w:val="20"/>
          <w:szCs w:val="20"/>
        </w:rPr>
      </w:pPr>
      <w:r w:rsidRPr="000677D5">
        <w:rPr>
          <w:sz w:val="20"/>
          <w:szCs w:val="20"/>
          <w:u w:val="single"/>
        </w:rPr>
        <w:t>Zu vermeidende Bedingungen:</w:t>
      </w:r>
      <w:r w:rsidRPr="000677D5">
        <w:rPr>
          <w:sz w:val="20"/>
          <w:szCs w:val="20"/>
        </w:rPr>
        <w:t xml:space="preserve"> Temperaturen &gt; 100°C (Erweichungstemperatur). Bei Temperaturen &gt; 220°C tritt thermische Zersetzung ein. Bei bestimmungsmäßiger Verwendung ist das Erzeugnis stabil und reaktionsträge.</w:t>
      </w:r>
    </w:p>
    <w:p w:rsidR="003A42B3" w:rsidRPr="000677D5" w:rsidRDefault="003A42B3" w:rsidP="003A42B3">
      <w:pPr>
        <w:ind w:left="426"/>
        <w:rPr>
          <w:sz w:val="20"/>
          <w:szCs w:val="20"/>
          <w:u w:val="single"/>
        </w:rPr>
      </w:pPr>
      <w:r w:rsidRPr="000677D5">
        <w:rPr>
          <w:sz w:val="20"/>
          <w:szCs w:val="20"/>
          <w:u w:val="single"/>
        </w:rPr>
        <w:t>Zu vermeidende Stoffe</w:t>
      </w:r>
      <w:r w:rsidRPr="000677D5">
        <w:rPr>
          <w:sz w:val="20"/>
          <w:szCs w:val="20"/>
        </w:rPr>
        <w:t>: Organische Lösemittel; aromatische Kohlenwasserstoffe</w:t>
      </w:r>
    </w:p>
    <w:p w:rsidR="00A914B8" w:rsidRPr="000677D5" w:rsidRDefault="003A42B3" w:rsidP="003A42B3">
      <w:pPr>
        <w:ind w:left="426"/>
        <w:rPr>
          <w:sz w:val="20"/>
          <w:szCs w:val="20"/>
        </w:rPr>
      </w:pPr>
      <w:r w:rsidRPr="000677D5">
        <w:rPr>
          <w:sz w:val="20"/>
          <w:szCs w:val="20"/>
          <w:u w:val="single"/>
        </w:rPr>
        <w:t>Gefährliche Zersetzungsprodukte:</w:t>
      </w:r>
      <w:r w:rsidRPr="000677D5">
        <w:rPr>
          <w:sz w:val="20"/>
          <w:szCs w:val="20"/>
        </w:rPr>
        <w:t xml:space="preserve"> Siehe Kapitel 5</w:t>
      </w:r>
    </w:p>
    <w:p w:rsidR="00A914B8" w:rsidRPr="000677D5" w:rsidRDefault="00A914B8">
      <w:pPr>
        <w:rPr>
          <w:sz w:val="20"/>
          <w:szCs w:val="20"/>
        </w:rPr>
      </w:pPr>
      <w:r w:rsidRPr="000677D5">
        <w:rPr>
          <w:sz w:val="20"/>
          <w:szCs w:val="20"/>
        </w:rPr>
        <w:br w:type="page"/>
      </w:r>
    </w:p>
    <w:p w:rsidR="003A42B3" w:rsidRPr="000677D5" w:rsidRDefault="003A42B3" w:rsidP="003A42B3">
      <w:pPr>
        <w:pStyle w:val="Listenabsatz"/>
        <w:numPr>
          <w:ilvl w:val="0"/>
          <w:numId w:val="1"/>
        </w:numPr>
        <w:contextualSpacing w:val="0"/>
        <w:rPr>
          <w:b/>
          <w:sz w:val="20"/>
          <w:szCs w:val="20"/>
        </w:rPr>
      </w:pPr>
      <w:r w:rsidRPr="000677D5">
        <w:rPr>
          <w:b/>
          <w:sz w:val="20"/>
          <w:szCs w:val="20"/>
        </w:rPr>
        <w:lastRenderedPageBreak/>
        <w:t>Angaben zur Toxikologie</w:t>
      </w:r>
    </w:p>
    <w:p w:rsidR="003A42B3" w:rsidRPr="000677D5" w:rsidRDefault="003A42B3" w:rsidP="003A42B3">
      <w:pPr>
        <w:ind w:left="426"/>
        <w:rPr>
          <w:sz w:val="20"/>
          <w:szCs w:val="20"/>
          <w:u w:val="single"/>
        </w:rPr>
      </w:pPr>
      <w:r w:rsidRPr="000677D5">
        <w:rPr>
          <w:sz w:val="20"/>
          <w:szCs w:val="20"/>
          <w:u w:val="single"/>
        </w:rPr>
        <w:t>Akute Toxizität:</w:t>
      </w:r>
      <w:r w:rsidRPr="000677D5">
        <w:rPr>
          <w:sz w:val="20"/>
          <w:szCs w:val="20"/>
        </w:rPr>
        <w:t xml:space="preserve"> Daten zur akuten Toxizität liegen nicht vor</w:t>
      </w:r>
    </w:p>
    <w:p w:rsidR="003A42B3" w:rsidRPr="000677D5" w:rsidRDefault="003A42B3" w:rsidP="003A42B3">
      <w:pPr>
        <w:ind w:left="426"/>
        <w:rPr>
          <w:sz w:val="20"/>
          <w:szCs w:val="20"/>
          <w:u w:val="single"/>
        </w:rPr>
      </w:pPr>
      <w:r w:rsidRPr="000677D5">
        <w:rPr>
          <w:sz w:val="20"/>
          <w:szCs w:val="20"/>
          <w:u w:val="single"/>
        </w:rPr>
        <w:t>Subakute bis chronische Toxizität:</w:t>
      </w:r>
      <w:r w:rsidRPr="000677D5">
        <w:rPr>
          <w:sz w:val="20"/>
          <w:szCs w:val="20"/>
        </w:rPr>
        <w:t xml:space="preserve"> Daten zur subakuten und chronischen Toxizität liegen nicht vor.</w:t>
      </w:r>
    </w:p>
    <w:p w:rsidR="003A42B3" w:rsidRPr="000677D5" w:rsidRDefault="003A42B3" w:rsidP="003A42B3">
      <w:pPr>
        <w:ind w:left="426"/>
        <w:rPr>
          <w:sz w:val="20"/>
          <w:szCs w:val="20"/>
          <w:u w:val="single"/>
        </w:rPr>
      </w:pPr>
      <w:r w:rsidRPr="000677D5">
        <w:rPr>
          <w:sz w:val="20"/>
          <w:szCs w:val="20"/>
          <w:u w:val="single"/>
        </w:rPr>
        <w:t>Sonstige Hinweise zur Toxizität:</w:t>
      </w:r>
      <w:r w:rsidRPr="000677D5">
        <w:rPr>
          <w:sz w:val="20"/>
          <w:szCs w:val="20"/>
        </w:rPr>
        <w:t xml:space="preserve"> Nachteilige Auswirkungen sind beim sach- und bestimmungsgemäßen Gebrauch des Erzeugnisses bisher nicht bekannt geworden.</w:t>
      </w:r>
    </w:p>
    <w:p w:rsidR="003A42B3" w:rsidRPr="000677D5" w:rsidRDefault="003A42B3" w:rsidP="003A42B3">
      <w:pPr>
        <w:ind w:left="709" w:hanging="709"/>
        <w:rPr>
          <w:sz w:val="20"/>
          <w:szCs w:val="20"/>
        </w:rPr>
      </w:pPr>
    </w:p>
    <w:p w:rsidR="003A42B3" w:rsidRPr="000677D5" w:rsidRDefault="003A42B3" w:rsidP="003A42B3">
      <w:pPr>
        <w:pStyle w:val="Listenabsatz"/>
        <w:numPr>
          <w:ilvl w:val="0"/>
          <w:numId w:val="1"/>
        </w:numPr>
        <w:contextualSpacing w:val="0"/>
        <w:rPr>
          <w:b/>
          <w:sz w:val="20"/>
          <w:szCs w:val="20"/>
        </w:rPr>
      </w:pPr>
      <w:r w:rsidRPr="000677D5">
        <w:rPr>
          <w:b/>
          <w:sz w:val="20"/>
          <w:szCs w:val="20"/>
        </w:rPr>
        <w:t>Umweltbezogene Angaben</w:t>
      </w:r>
    </w:p>
    <w:p w:rsidR="003A42B3" w:rsidRPr="000677D5" w:rsidRDefault="003A42B3" w:rsidP="003A42B3">
      <w:pPr>
        <w:ind w:left="426"/>
        <w:rPr>
          <w:sz w:val="20"/>
          <w:szCs w:val="20"/>
          <w:u w:val="single"/>
        </w:rPr>
      </w:pPr>
      <w:r w:rsidRPr="000677D5">
        <w:rPr>
          <w:sz w:val="20"/>
          <w:szCs w:val="20"/>
          <w:u w:val="single"/>
        </w:rPr>
        <w:t>Ökotoxizität:</w:t>
      </w:r>
      <w:r w:rsidRPr="000677D5">
        <w:rPr>
          <w:sz w:val="20"/>
          <w:szCs w:val="20"/>
        </w:rPr>
        <w:t xml:space="preserve"> Keine toxische Wirkung im Bereich der Wasserlöslichkeit bekannt</w:t>
      </w:r>
    </w:p>
    <w:p w:rsidR="003A42B3" w:rsidRPr="000677D5" w:rsidRDefault="003A42B3" w:rsidP="003A42B3">
      <w:pPr>
        <w:ind w:left="426"/>
        <w:rPr>
          <w:sz w:val="20"/>
          <w:szCs w:val="20"/>
          <w:u w:val="single"/>
        </w:rPr>
      </w:pPr>
      <w:r w:rsidRPr="000677D5">
        <w:rPr>
          <w:sz w:val="20"/>
          <w:szCs w:val="20"/>
          <w:u w:val="single"/>
        </w:rPr>
        <w:t>Persistenz und Abbaubarkeit:</w:t>
      </w:r>
      <w:r w:rsidRPr="000677D5">
        <w:rPr>
          <w:sz w:val="20"/>
          <w:szCs w:val="20"/>
        </w:rPr>
        <w:t xml:space="preserve"> Das Produkt ist biologisch nicht abbaubar und wasserunlöslich.</w:t>
      </w:r>
    </w:p>
    <w:p w:rsidR="003A42B3" w:rsidRPr="000677D5" w:rsidRDefault="003A42B3" w:rsidP="003A42B3">
      <w:pPr>
        <w:ind w:left="426"/>
        <w:rPr>
          <w:sz w:val="20"/>
          <w:szCs w:val="20"/>
          <w:u w:val="single"/>
        </w:rPr>
      </w:pPr>
      <w:r w:rsidRPr="000677D5">
        <w:rPr>
          <w:sz w:val="20"/>
          <w:szCs w:val="20"/>
          <w:u w:val="single"/>
        </w:rPr>
        <w:t>Bioakkumulationspotential:</w:t>
      </w:r>
      <w:r w:rsidRPr="000677D5">
        <w:rPr>
          <w:sz w:val="20"/>
          <w:szCs w:val="20"/>
        </w:rPr>
        <w:t xml:space="preserve"> Aufgrund der Konsistenz und der Wasserunlöslichkeit des Produktes ist eine Bioverfügbarkeit nicht wahrscheinlich.</w:t>
      </w:r>
    </w:p>
    <w:p w:rsidR="003A42B3" w:rsidRPr="000677D5" w:rsidRDefault="003A42B3" w:rsidP="003A42B3">
      <w:pPr>
        <w:spacing w:line="280" w:lineRule="auto"/>
        <w:ind w:left="426"/>
        <w:rPr>
          <w:sz w:val="20"/>
          <w:szCs w:val="20"/>
          <w:u w:val="single"/>
        </w:rPr>
      </w:pPr>
      <w:r w:rsidRPr="000677D5">
        <w:rPr>
          <w:sz w:val="20"/>
          <w:szCs w:val="20"/>
          <w:u w:val="single"/>
        </w:rPr>
        <w:t>Zusätzliche Hinweise</w:t>
      </w:r>
      <w:r w:rsidR="00D333E6" w:rsidRPr="000677D5">
        <w:rPr>
          <w:sz w:val="20"/>
          <w:szCs w:val="20"/>
          <w:u w:val="single"/>
        </w:rPr>
        <w:t>:</w:t>
      </w:r>
    </w:p>
    <w:p w:rsidR="003A42B3" w:rsidRPr="000677D5" w:rsidRDefault="003A42B3" w:rsidP="003A42B3">
      <w:pPr>
        <w:spacing w:after="120" w:line="281" w:lineRule="auto"/>
        <w:ind w:left="425"/>
        <w:rPr>
          <w:sz w:val="20"/>
          <w:szCs w:val="20"/>
        </w:rPr>
      </w:pPr>
      <w:r w:rsidRPr="000677D5">
        <w:rPr>
          <w:sz w:val="20"/>
          <w:szCs w:val="20"/>
        </w:rPr>
        <w:t>Aufgrund bisher vorliegender Erkenntnisse sind negative ökologische Wirkungen nicht bekannt.</w:t>
      </w:r>
    </w:p>
    <w:p w:rsidR="003A42B3" w:rsidRPr="000677D5" w:rsidRDefault="003A42B3" w:rsidP="00D43915">
      <w:pPr>
        <w:spacing w:after="120" w:line="281" w:lineRule="auto"/>
        <w:ind w:left="425"/>
        <w:rPr>
          <w:sz w:val="20"/>
          <w:szCs w:val="20"/>
        </w:rPr>
      </w:pPr>
      <w:r w:rsidRPr="000677D5">
        <w:rPr>
          <w:sz w:val="20"/>
          <w:szCs w:val="20"/>
        </w:rPr>
        <w:t>Das Erzeugnis ist chemisch neutral, nicht wasserlöslich und gibt keine wasserlöslichen Stoffe ab.</w:t>
      </w:r>
    </w:p>
    <w:p w:rsidR="003A42B3" w:rsidRPr="000677D5" w:rsidRDefault="003A42B3" w:rsidP="003A42B3">
      <w:pPr>
        <w:spacing w:line="280" w:lineRule="auto"/>
        <w:ind w:left="426"/>
        <w:rPr>
          <w:sz w:val="20"/>
          <w:szCs w:val="20"/>
        </w:rPr>
      </w:pPr>
      <w:r w:rsidRPr="000677D5">
        <w:rPr>
          <w:sz w:val="20"/>
          <w:szCs w:val="20"/>
        </w:rPr>
        <w:t>Das Erzeugnis ist in Bezug auf Umweltgefahren nicht einzustufen.</w:t>
      </w:r>
    </w:p>
    <w:p w:rsidR="00D43915" w:rsidRPr="000677D5" w:rsidRDefault="00D43915" w:rsidP="003A42B3">
      <w:pPr>
        <w:spacing w:line="280" w:lineRule="auto"/>
        <w:ind w:left="426"/>
        <w:rPr>
          <w:sz w:val="20"/>
          <w:szCs w:val="20"/>
        </w:rPr>
      </w:pPr>
    </w:p>
    <w:p w:rsidR="003A42B3" w:rsidRPr="000677D5" w:rsidRDefault="003A42B3" w:rsidP="003A42B3">
      <w:pPr>
        <w:pStyle w:val="Listenabsatz"/>
        <w:numPr>
          <w:ilvl w:val="0"/>
          <w:numId w:val="1"/>
        </w:numPr>
        <w:contextualSpacing w:val="0"/>
        <w:rPr>
          <w:b/>
          <w:sz w:val="20"/>
          <w:szCs w:val="20"/>
        </w:rPr>
      </w:pPr>
      <w:r w:rsidRPr="000677D5">
        <w:rPr>
          <w:b/>
          <w:sz w:val="20"/>
          <w:szCs w:val="20"/>
        </w:rPr>
        <w:t>Hinweise zur Entsorgung</w:t>
      </w:r>
    </w:p>
    <w:p w:rsidR="003A42B3" w:rsidRPr="000677D5" w:rsidRDefault="003A42B3" w:rsidP="003A42B3">
      <w:pPr>
        <w:spacing w:line="280" w:lineRule="auto"/>
        <w:ind w:left="426"/>
        <w:rPr>
          <w:sz w:val="20"/>
          <w:szCs w:val="20"/>
        </w:rPr>
      </w:pPr>
      <w:r w:rsidRPr="000677D5">
        <w:rPr>
          <w:sz w:val="20"/>
          <w:szCs w:val="20"/>
          <w:u w:val="single"/>
        </w:rPr>
        <w:t>Erzeugnis:</w:t>
      </w:r>
      <w:r w:rsidRPr="000677D5">
        <w:rPr>
          <w:sz w:val="20"/>
          <w:szCs w:val="20"/>
        </w:rPr>
        <w:t xml:space="preserve"> EPS-Hartschaum kann werkstofflich, rohstofflich und thermisch wiederverwertet werden. Bei der Abfallentsorgung sind die Verordnungen und Gesetze der jeweiligen Länder zu beachten. Die Entsorgung über Fachbetriebe und die Behandlung in Müllverbrennungsanlagen ist problemlos möglich. Nach Richtlinie 2000/532/EG und Abfall-Verzeichnisverordnung (AVV) ist EPS-Hartschaum in die Gruppe der Bau-und Abbruchabfälle eingestuft.</w:t>
      </w:r>
      <w:r w:rsidR="00156096" w:rsidRPr="000677D5">
        <w:rPr>
          <w:sz w:val="20"/>
          <w:szCs w:val="20"/>
        </w:rPr>
        <w:t xml:space="preserve"> EPS Schäume sind keine Sonderabfälle.</w:t>
      </w:r>
    </w:p>
    <w:p w:rsidR="003A42B3" w:rsidRPr="000677D5" w:rsidRDefault="003A42B3" w:rsidP="003A42B3">
      <w:pPr>
        <w:spacing w:line="280" w:lineRule="auto"/>
        <w:ind w:left="426"/>
        <w:rPr>
          <w:sz w:val="20"/>
          <w:szCs w:val="20"/>
        </w:rPr>
      </w:pPr>
      <w:r w:rsidRPr="000677D5">
        <w:rPr>
          <w:sz w:val="20"/>
          <w:szCs w:val="20"/>
        </w:rPr>
        <w:t>Abfallschlüsselnummer gemäß Abfallverzeichnis-Verordnung:</w:t>
      </w:r>
    </w:p>
    <w:p w:rsidR="003A42B3" w:rsidRPr="000677D5" w:rsidRDefault="003A42B3" w:rsidP="003A42B3">
      <w:pPr>
        <w:spacing w:line="280" w:lineRule="auto"/>
        <w:ind w:left="426"/>
        <w:rPr>
          <w:sz w:val="20"/>
          <w:szCs w:val="20"/>
        </w:rPr>
      </w:pPr>
      <w:r w:rsidRPr="000677D5">
        <w:rPr>
          <w:b/>
          <w:sz w:val="20"/>
          <w:szCs w:val="20"/>
        </w:rPr>
        <w:t>17 06 04</w:t>
      </w:r>
      <w:r w:rsidRPr="000677D5">
        <w:rPr>
          <w:sz w:val="20"/>
          <w:szCs w:val="20"/>
        </w:rPr>
        <w:t xml:space="preserve"> – Dämmmaterial mit Ausnahme des Mat</w:t>
      </w:r>
      <w:r w:rsidR="00156096" w:rsidRPr="000677D5">
        <w:rPr>
          <w:sz w:val="20"/>
          <w:szCs w:val="20"/>
        </w:rPr>
        <w:t>erials</w:t>
      </w:r>
    </w:p>
    <w:p w:rsidR="003A42B3" w:rsidRPr="000677D5" w:rsidRDefault="003A42B3" w:rsidP="003A42B3">
      <w:pPr>
        <w:spacing w:line="280" w:lineRule="auto"/>
        <w:ind w:left="426"/>
        <w:rPr>
          <w:sz w:val="20"/>
          <w:szCs w:val="20"/>
        </w:rPr>
      </w:pPr>
      <w:r w:rsidRPr="000677D5">
        <w:rPr>
          <w:sz w:val="20"/>
          <w:szCs w:val="20"/>
          <w:u w:val="single"/>
        </w:rPr>
        <w:t>Verpackungen der Produkte:</w:t>
      </w:r>
      <w:r w:rsidRPr="000677D5">
        <w:rPr>
          <w:sz w:val="20"/>
          <w:szCs w:val="20"/>
        </w:rPr>
        <w:t xml:space="preserve"> Verpackungen müssen länderspezifisch unter Beachtung der jeweiligen Vorschriften entsorgt oder Rücknahmesysteme zugeführt werden. Vollständig entleerte Verpackungen können dem Recyclingprozess zugeführt werden.</w:t>
      </w:r>
    </w:p>
    <w:p w:rsidR="003A42B3" w:rsidRPr="000677D5" w:rsidRDefault="003A42B3" w:rsidP="003A42B3">
      <w:pPr>
        <w:pStyle w:val="Listenabsatz"/>
        <w:numPr>
          <w:ilvl w:val="0"/>
          <w:numId w:val="1"/>
        </w:numPr>
        <w:contextualSpacing w:val="0"/>
        <w:rPr>
          <w:b/>
          <w:sz w:val="20"/>
          <w:szCs w:val="20"/>
        </w:rPr>
      </w:pPr>
      <w:r w:rsidRPr="000677D5">
        <w:rPr>
          <w:b/>
          <w:sz w:val="20"/>
          <w:szCs w:val="20"/>
        </w:rPr>
        <w:t>Angaben zum Transport</w:t>
      </w:r>
    </w:p>
    <w:p w:rsidR="00A914B8" w:rsidRPr="000677D5" w:rsidRDefault="003A42B3" w:rsidP="003A42B3">
      <w:pPr>
        <w:spacing w:line="280" w:lineRule="auto"/>
        <w:ind w:left="426"/>
        <w:rPr>
          <w:sz w:val="20"/>
          <w:szCs w:val="20"/>
        </w:rPr>
      </w:pPr>
      <w:r w:rsidRPr="000677D5">
        <w:rPr>
          <w:sz w:val="20"/>
          <w:szCs w:val="20"/>
        </w:rPr>
        <w:t>Kein Gefahrgut im Sinne der Transportvorschriften.</w:t>
      </w:r>
    </w:p>
    <w:p w:rsidR="00156096" w:rsidRPr="000677D5" w:rsidRDefault="00156096" w:rsidP="003A42B3">
      <w:pPr>
        <w:spacing w:line="280" w:lineRule="auto"/>
        <w:ind w:left="426"/>
        <w:rPr>
          <w:sz w:val="20"/>
          <w:szCs w:val="20"/>
        </w:rPr>
      </w:pPr>
    </w:p>
    <w:p w:rsidR="00156096" w:rsidRPr="000677D5" w:rsidRDefault="00156096" w:rsidP="003A42B3">
      <w:pPr>
        <w:spacing w:line="280" w:lineRule="auto"/>
        <w:ind w:left="426"/>
        <w:rPr>
          <w:sz w:val="20"/>
          <w:szCs w:val="20"/>
        </w:rPr>
      </w:pPr>
    </w:p>
    <w:p w:rsidR="00D43915" w:rsidRPr="000677D5" w:rsidRDefault="00D43915" w:rsidP="003A42B3">
      <w:pPr>
        <w:spacing w:line="280" w:lineRule="auto"/>
        <w:ind w:left="426"/>
        <w:rPr>
          <w:sz w:val="20"/>
          <w:szCs w:val="20"/>
        </w:rPr>
      </w:pPr>
    </w:p>
    <w:p w:rsidR="003A42B3" w:rsidRPr="000677D5" w:rsidRDefault="003A42B3" w:rsidP="00D43915">
      <w:pPr>
        <w:rPr>
          <w:sz w:val="20"/>
          <w:szCs w:val="20"/>
        </w:rPr>
      </w:pPr>
      <w:r w:rsidRPr="000677D5">
        <w:rPr>
          <w:b/>
          <w:sz w:val="20"/>
          <w:szCs w:val="20"/>
        </w:rPr>
        <w:t>15.</w:t>
      </w:r>
      <w:r w:rsidRPr="000677D5">
        <w:rPr>
          <w:b/>
          <w:sz w:val="20"/>
          <w:szCs w:val="20"/>
        </w:rPr>
        <w:tab/>
        <w:t>Rechtsvorschriften</w:t>
      </w:r>
    </w:p>
    <w:p w:rsidR="003A42B3" w:rsidRPr="000677D5" w:rsidRDefault="003A42B3" w:rsidP="003A42B3">
      <w:pPr>
        <w:pStyle w:val="Listenabsatz"/>
        <w:numPr>
          <w:ilvl w:val="0"/>
          <w:numId w:val="8"/>
        </w:numPr>
        <w:tabs>
          <w:tab w:val="left" w:pos="383"/>
        </w:tabs>
        <w:spacing w:line="280" w:lineRule="auto"/>
        <w:ind w:left="709" w:hanging="283"/>
        <w:rPr>
          <w:sz w:val="20"/>
          <w:szCs w:val="20"/>
        </w:rPr>
      </w:pPr>
      <w:r w:rsidRPr="000677D5">
        <w:rPr>
          <w:sz w:val="20"/>
          <w:szCs w:val="20"/>
        </w:rPr>
        <w:lastRenderedPageBreak/>
        <w:t>Kennzeichnung nach EU-Richtlini</w:t>
      </w:r>
      <w:r w:rsidR="00156096" w:rsidRPr="000677D5">
        <w:rPr>
          <w:sz w:val="20"/>
          <w:szCs w:val="20"/>
        </w:rPr>
        <w:t xml:space="preserve">e: </w:t>
      </w:r>
    </w:p>
    <w:p w:rsidR="00156096" w:rsidRPr="000677D5" w:rsidRDefault="00156096" w:rsidP="00156096">
      <w:pPr>
        <w:pStyle w:val="Listenabsatz"/>
        <w:tabs>
          <w:tab w:val="left" w:pos="383"/>
        </w:tabs>
        <w:spacing w:line="280" w:lineRule="auto"/>
        <w:ind w:left="709"/>
        <w:rPr>
          <w:sz w:val="20"/>
          <w:szCs w:val="20"/>
        </w:rPr>
      </w:pPr>
      <w:r w:rsidRPr="000677D5">
        <w:rPr>
          <w:sz w:val="20"/>
          <w:szCs w:val="20"/>
        </w:rPr>
        <w:t>Symbole : ---</w:t>
      </w:r>
    </w:p>
    <w:p w:rsidR="00156096" w:rsidRPr="000677D5" w:rsidRDefault="00156096" w:rsidP="00156096">
      <w:pPr>
        <w:pStyle w:val="Listenabsatz"/>
        <w:tabs>
          <w:tab w:val="left" w:pos="383"/>
        </w:tabs>
        <w:spacing w:line="280" w:lineRule="auto"/>
        <w:ind w:left="709"/>
        <w:rPr>
          <w:sz w:val="20"/>
          <w:szCs w:val="20"/>
        </w:rPr>
      </w:pPr>
      <w:r w:rsidRPr="000677D5">
        <w:rPr>
          <w:sz w:val="20"/>
          <w:szCs w:val="20"/>
        </w:rPr>
        <w:t>R-Sätze :  ---</w:t>
      </w:r>
    </w:p>
    <w:p w:rsidR="00156096" w:rsidRPr="000677D5" w:rsidRDefault="00156096" w:rsidP="00156096">
      <w:pPr>
        <w:pStyle w:val="Listenabsatz"/>
        <w:tabs>
          <w:tab w:val="left" w:pos="383"/>
        </w:tabs>
        <w:spacing w:line="280" w:lineRule="auto"/>
        <w:ind w:left="709"/>
        <w:rPr>
          <w:sz w:val="20"/>
          <w:szCs w:val="20"/>
        </w:rPr>
      </w:pPr>
      <w:r w:rsidRPr="000677D5">
        <w:rPr>
          <w:sz w:val="20"/>
          <w:szCs w:val="20"/>
        </w:rPr>
        <w:t>S-Sätze :  ---</w:t>
      </w:r>
    </w:p>
    <w:p w:rsidR="003A42B3" w:rsidRPr="000677D5" w:rsidRDefault="003A42B3" w:rsidP="003A42B3">
      <w:pPr>
        <w:pStyle w:val="Listenabsatz"/>
        <w:numPr>
          <w:ilvl w:val="0"/>
          <w:numId w:val="8"/>
        </w:numPr>
        <w:tabs>
          <w:tab w:val="left" w:pos="383"/>
        </w:tabs>
        <w:spacing w:line="280" w:lineRule="auto"/>
        <w:ind w:left="709" w:hanging="283"/>
        <w:rPr>
          <w:sz w:val="20"/>
          <w:szCs w:val="20"/>
        </w:rPr>
      </w:pPr>
      <w:r w:rsidRPr="000677D5">
        <w:rPr>
          <w:sz w:val="20"/>
          <w:szCs w:val="20"/>
        </w:rPr>
        <w:t>Nationale Vorschriften</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Gefahrstoffverordnung:</w:t>
      </w:r>
      <w:r w:rsidRPr="000677D5">
        <w:rPr>
          <w:sz w:val="20"/>
          <w:szCs w:val="20"/>
        </w:rPr>
        <w:tab/>
        <w:t>Anhang IV Nr.22, 3. Abschnitt: allgemeine Schutzmaßnahmen</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TRGS 500, Schutzmaßnahmen</w:t>
      </w:r>
      <w:r w:rsidRPr="000677D5">
        <w:rPr>
          <w:sz w:val="20"/>
          <w:szCs w:val="20"/>
        </w:rPr>
        <w:tab/>
        <w:t>Mindeststandards</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 xml:space="preserve">BGV A1 </w:t>
      </w:r>
      <w:r w:rsidRPr="000677D5">
        <w:rPr>
          <w:sz w:val="20"/>
          <w:szCs w:val="20"/>
        </w:rPr>
        <w:tab/>
        <w:t>Grundsätze der Prävention</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BGR 189</w:t>
      </w:r>
      <w:r w:rsidRPr="000677D5">
        <w:rPr>
          <w:sz w:val="20"/>
          <w:szCs w:val="20"/>
        </w:rPr>
        <w:tab/>
        <w:t>Einsatz von Schutzkleidung</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BGR 190</w:t>
      </w:r>
      <w:r w:rsidRPr="000677D5">
        <w:rPr>
          <w:sz w:val="20"/>
          <w:szCs w:val="20"/>
        </w:rPr>
        <w:tab/>
        <w:t>Regeln für den Einsatz von Atemschutzgeräten</w:t>
      </w:r>
      <w:bookmarkStart w:id="0" w:name="_GoBack"/>
    </w:p>
    <w:bookmarkEnd w:id="0"/>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BGR 192</w:t>
      </w:r>
      <w:r w:rsidRPr="000677D5">
        <w:rPr>
          <w:sz w:val="20"/>
          <w:szCs w:val="20"/>
        </w:rPr>
        <w:tab/>
        <w:t>Regeln für den Einsatz von Augen- und Gesichtsschutz</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BGR 195</w:t>
      </w:r>
      <w:r w:rsidRPr="000677D5">
        <w:rPr>
          <w:sz w:val="20"/>
          <w:szCs w:val="20"/>
        </w:rPr>
        <w:tab/>
        <w:t>Einsatz von Schutzhandschuhen</w:t>
      </w:r>
    </w:p>
    <w:p w:rsidR="003A42B3" w:rsidRPr="000677D5" w:rsidRDefault="003A42B3" w:rsidP="003A42B3">
      <w:pPr>
        <w:pStyle w:val="Listenabsatz"/>
        <w:numPr>
          <w:ilvl w:val="1"/>
          <w:numId w:val="8"/>
        </w:numPr>
        <w:tabs>
          <w:tab w:val="left" w:pos="426"/>
        </w:tabs>
        <w:spacing w:line="280" w:lineRule="auto"/>
        <w:ind w:left="993" w:hanging="284"/>
        <w:rPr>
          <w:sz w:val="20"/>
          <w:szCs w:val="20"/>
        </w:rPr>
      </w:pPr>
      <w:r w:rsidRPr="000677D5">
        <w:rPr>
          <w:sz w:val="20"/>
          <w:szCs w:val="20"/>
        </w:rPr>
        <w:t xml:space="preserve">BGR 197 </w:t>
      </w:r>
      <w:r w:rsidRPr="000677D5">
        <w:rPr>
          <w:sz w:val="20"/>
          <w:szCs w:val="20"/>
        </w:rPr>
        <w:tab/>
        <w:t>Benutzung von Hautschutz</w:t>
      </w:r>
    </w:p>
    <w:p w:rsidR="003A42B3" w:rsidRPr="000677D5" w:rsidRDefault="003A42B3" w:rsidP="003A42B3">
      <w:pPr>
        <w:pStyle w:val="Listenabsatz"/>
        <w:numPr>
          <w:ilvl w:val="1"/>
          <w:numId w:val="8"/>
        </w:numPr>
        <w:tabs>
          <w:tab w:val="left" w:pos="426"/>
        </w:tabs>
        <w:spacing w:line="281" w:lineRule="auto"/>
        <w:ind w:left="993" w:hanging="284"/>
        <w:contextualSpacing w:val="0"/>
        <w:rPr>
          <w:sz w:val="20"/>
          <w:szCs w:val="20"/>
        </w:rPr>
      </w:pPr>
      <w:r w:rsidRPr="000677D5">
        <w:rPr>
          <w:sz w:val="20"/>
          <w:szCs w:val="20"/>
        </w:rPr>
        <w:t>Merkblatt M 054 BG Chemie: Styrol und styrolhaltige Zubereitungen</w:t>
      </w:r>
    </w:p>
    <w:p w:rsidR="003A42B3" w:rsidRPr="000677D5" w:rsidRDefault="003A42B3" w:rsidP="003A42B3">
      <w:pPr>
        <w:pStyle w:val="Listenabsatz"/>
        <w:numPr>
          <w:ilvl w:val="0"/>
          <w:numId w:val="8"/>
        </w:numPr>
        <w:tabs>
          <w:tab w:val="left" w:pos="383"/>
        </w:tabs>
        <w:spacing w:line="281" w:lineRule="auto"/>
        <w:ind w:left="709" w:hanging="284"/>
        <w:contextualSpacing w:val="0"/>
        <w:rPr>
          <w:sz w:val="20"/>
          <w:szCs w:val="20"/>
        </w:rPr>
      </w:pPr>
      <w:r w:rsidRPr="000677D5">
        <w:rPr>
          <w:sz w:val="20"/>
          <w:szCs w:val="20"/>
        </w:rPr>
        <w:t>Wassergefährdungsklasse: nicht wassergefährdend</w:t>
      </w:r>
    </w:p>
    <w:p w:rsidR="00D43915" w:rsidRPr="000677D5" w:rsidRDefault="00D43915" w:rsidP="00D43915">
      <w:pPr>
        <w:pStyle w:val="Listenabsatz"/>
        <w:tabs>
          <w:tab w:val="left" w:pos="383"/>
        </w:tabs>
        <w:spacing w:line="281" w:lineRule="auto"/>
        <w:ind w:left="709"/>
        <w:contextualSpacing w:val="0"/>
        <w:rPr>
          <w:sz w:val="20"/>
          <w:szCs w:val="20"/>
        </w:rPr>
      </w:pPr>
    </w:p>
    <w:p w:rsidR="003A42B3" w:rsidRPr="000677D5" w:rsidRDefault="003A42B3" w:rsidP="003A42B3">
      <w:pPr>
        <w:pStyle w:val="Listenabsatz"/>
        <w:numPr>
          <w:ilvl w:val="0"/>
          <w:numId w:val="13"/>
        </w:numPr>
        <w:tabs>
          <w:tab w:val="left" w:pos="383"/>
        </w:tabs>
        <w:spacing w:line="280" w:lineRule="auto"/>
        <w:ind w:left="426" w:hanging="426"/>
        <w:rPr>
          <w:b/>
          <w:sz w:val="20"/>
          <w:szCs w:val="20"/>
        </w:rPr>
      </w:pPr>
      <w:r w:rsidRPr="000677D5">
        <w:rPr>
          <w:b/>
          <w:sz w:val="20"/>
          <w:szCs w:val="20"/>
        </w:rPr>
        <w:t>Sonstige Angaben</w:t>
      </w:r>
    </w:p>
    <w:p w:rsidR="00156096" w:rsidRPr="000677D5" w:rsidRDefault="00156096" w:rsidP="000677D5">
      <w:pPr>
        <w:spacing w:line="280" w:lineRule="auto"/>
        <w:rPr>
          <w:bCs/>
          <w:iCs/>
          <w:sz w:val="20"/>
          <w:szCs w:val="20"/>
        </w:rPr>
      </w:pPr>
      <w:r w:rsidRPr="000677D5">
        <w:rPr>
          <w:bCs/>
          <w:iCs/>
          <w:sz w:val="20"/>
          <w:szCs w:val="20"/>
        </w:rPr>
        <w:t xml:space="preserve">Wortlaut aller R-Sätze siehe Punkt:  Zusammensetzung / Angaben zu Bestandteile       </w:t>
      </w:r>
      <w:r w:rsidR="000677D5">
        <w:rPr>
          <w:bCs/>
          <w:iCs/>
          <w:sz w:val="20"/>
          <w:szCs w:val="20"/>
        </w:rPr>
        <w:t xml:space="preserve">                     </w:t>
      </w:r>
      <w:r w:rsidRPr="000677D5">
        <w:rPr>
          <w:bCs/>
          <w:iCs/>
          <w:sz w:val="20"/>
          <w:szCs w:val="20"/>
        </w:rPr>
        <w:t>12</w:t>
      </w:r>
      <w:r w:rsidRPr="000677D5">
        <w:rPr>
          <w:bCs/>
          <w:iCs/>
          <w:sz w:val="20"/>
          <w:szCs w:val="20"/>
        </w:rPr>
        <w:tab/>
        <w:t>Hochentzündlich</w:t>
      </w:r>
      <w:r w:rsidR="000677D5">
        <w:rPr>
          <w:bCs/>
          <w:iCs/>
          <w:sz w:val="20"/>
          <w:szCs w:val="20"/>
        </w:rPr>
        <w:t xml:space="preserve">                         </w:t>
      </w:r>
      <w:r w:rsidRPr="000677D5">
        <w:rPr>
          <w:bCs/>
          <w:iCs/>
          <w:sz w:val="20"/>
          <w:szCs w:val="20"/>
        </w:rPr>
        <w:t xml:space="preserve">                                                                                          51/53</w:t>
      </w:r>
      <w:r w:rsidRPr="000677D5">
        <w:rPr>
          <w:bCs/>
          <w:iCs/>
          <w:sz w:val="20"/>
          <w:szCs w:val="20"/>
        </w:rPr>
        <w:tab/>
        <w:t>Giftig für Wasserorganismen, kann in Gewässern langfristig schädliche Wi</w:t>
      </w:r>
      <w:r w:rsidR="000677D5">
        <w:rPr>
          <w:bCs/>
          <w:iCs/>
          <w:sz w:val="20"/>
          <w:szCs w:val="20"/>
        </w:rPr>
        <w:t>r</w:t>
      </w:r>
      <w:r w:rsidRPr="000677D5">
        <w:rPr>
          <w:bCs/>
          <w:iCs/>
          <w:sz w:val="20"/>
          <w:szCs w:val="20"/>
        </w:rPr>
        <w:t>kungen haben.                                                                                                  65</w:t>
      </w:r>
      <w:r w:rsidRPr="000677D5">
        <w:rPr>
          <w:bCs/>
          <w:iCs/>
          <w:sz w:val="20"/>
          <w:szCs w:val="20"/>
        </w:rPr>
        <w:tab/>
        <w:t xml:space="preserve">Gesundheitsschädlich, kann bei Verschlucken Lungenschäden verursachen </w:t>
      </w:r>
      <w:r w:rsidR="000677D5">
        <w:rPr>
          <w:bCs/>
          <w:iCs/>
          <w:sz w:val="20"/>
          <w:szCs w:val="20"/>
        </w:rPr>
        <w:t xml:space="preserve">                         66</w:t>
      </w:r>
      <w:r w:rsidR="000677D5">
        <w:rPr>
          <w:bCs/>
          <w:iCs/>
          <w:sz w:val="20"/>
          <w:szCs w:val="20"/>
        </w:rPr>
        <w:tab/>
      </w:r>
      <w:r w:rsidRPr="000677D5">
        <w:rPr>
          <w:bCs/>
          <w:iCs/>
          <w:sz w:val="20"/>
          <w:szCs w:val="20"/>
        </w:rPr>
        <w:t>Wiederholter Kontakt kann zu spröder oder rissiger Haut führen</w:t>
      </w:r>
      <w:r w:rsidR="000677D5">
        <w:rPr>
          <w:bCs/>
          <w:iCs/>
          <w:sz w:val="20"/>
          <w:szCs w:val="20"/>
        </w:rPr>
        <w:t xml:space="preserve">                         </w:t>
      </w:r>
      <w:r w:rsidRPr="000677D5">
        <w:rPr>
          <w:bCs/>
          <w:iCs/>
          <w:sz w:val="20"/>
          <w:szCs w:val="20"/>
        </w:rPr>
        <w:t xml:space="preserve">                     67</w:t>
      </w:r>
      <w:r w:rsidRPr="000677D5">
        <w:rPr>
          <w:bCs/>
          <w:iCs/>
          <w:sz w:val="20"/>
          <w:szCs w:val="20"/>
        </w:rPr>
        <w:tab/>
        <w:t>Dämpfe können Schläfrigkeit und Benommenheit verursachen</w:t>
      </w:r>
    </w:p>
    <w:p w:rsidR="003A42B3" w:rsidRPr="000677D5" w:rsidRDefault="003A42B3" w:rsidP="003A42B3">
      <w:pPr>
        <w:spacing w:line="280" w:lineRule="auto"/>
        <w:ind w:left="426"/>
        <w:rPr>
          <w:bCs/>
          <w:iCs/>
          <w:sz w:val="20"/>
          <w:szCs w:val="20"/>
          <w:u w:val="single"/>
        </w:rPr>
      </w:pPr>
      <w:r w:rsidRPr="000677D5">
        <w:rPr>
          <w:bCs/>
          <w:iCs/>
          <w:sz w:val="20"/>
          <w:szCs w:val="20"/>
          <w:u w:val="single"/>
        </w:rPr>
        <w:t>Sonstiger Hinweis</w:t>
      </w:r>
    </w:p>
    <w:p w:rsidR="003A42B3" w:rsidRPr="000677D5" w:rsidRDefault="003A42B3" w:rsidP="003A42B3">
      <w:pPr>
        <w:ind w:left="426"/>
        <w:rPr>
          <w:sz w:val="20"/>
          <w:szCs w:val="20"/>
        </w:rPr>
      </w:pPr>
      <w:r w:rsidRPr="000677D5">
        <w:rPr>
          <w:sz w:val="20"/>
          <w:szCs w:val="20"/>
        </w:rPr>
        <w:t xml:space="preserve">Die vorstehenden Angaben in diesem Informationsblatt stützen sich auf </w:t>
      </w:r>
      <w:r w:rsidR="00156096" w:rsidRPr="000677D5">
        <w:rPr>
          <w:sz w:val="20"/>
          <w:szCs w:val="20"/>
        </w:rPr>
        <w:t>unseren heutigen</w:t>
      </w:r>
      <w:r w:rsidRPr="000677D5">
        <w:rPr>
          <w:sz w:val="20"/>
          <w:szCs w:val="20"/>
        </w:rPr>
        <w:t xml:space="preserve"> Kenntniss</w:t>
      </w:r>
      <w:r w:rsidR="00852936" w:rsidRPr="000677D5">
        <w:rPr>
          <w:sz w:val="20"/>
          <w:szCs w:val="20"/>
        </w:rPr>
        <w:t>tand</w:t>
      </w:r>
      <w:r w:rsidRPr="000677D5">
        <w:rPr>
          <w:sz w:val="20"/>
          <w:szCs w:val="20"/>
        </w:rPr>
        <w:t xml:space="preserve"> und Erfahrungen und beschreiben das Erzeugnis im Hinblick auf Sicherheitserfordernisse.</w:t>
      </w:r>
    </w:p>
    <w:p w:rsidR="003A42B3" w:rsidRPr="000677D5" w:rsidRDefault="003A42B3" w:rsidP="003A42B3">
      <w:pPr>
        <w:ind w:left="426"/>
        <w:rPr>
          <w:sz w:val="20"/>
          <w:szCs w:val="20"/>
        </w:rPr>
      </w:pPr>
      <w:r w:rsidRPr="000677D5">
        <w:rPr>
          <w:sz w:val="20"/>
          <w:szCs w:val="20"/>
        </w:rPr>
        <w:t>Die Angaben stellen keine Zusicherung von Eigenschaften und Beschaffenheit der Erzeugnisse dar.</w:t>
      </w:r>
    </w:p>
    <w:p w:rsidR="00D43915" w:rsidRPr="006566B6" w:rsidRDefault="003A42B3" w:rsidP="006566B6">
      <w:pPr>
        <w:ind w:left="426"/>
        <w:rPr>
          <w:sz w:val="20"/>
          <w:szCs w:val="20"/>
        </w:rPr>
      </w:pPr>
      <w:r w:rsidRPr="000677D5">
        <w:rPr>
          <w:sz w:val="20"/>
          <w:szCs w:val="20"/>
        </w:rPr>
        <w:t>Bestehende Gesetze und Bestimmungen sowie etwaige Schutzrechte sind vom Empfänger unserer Produkte in eigener Verantwortung zu beachten.</w:t>
      </w:r>
    </w:p>
    <w:p w:rsidR="006566B6" w:rsidRDefault="006566B6">
      <w:pPr>
        <w:ind w:left="426"/>
      </w:pPr>
    </w:p>
    <w:p w:rsidR="006566B6" w:rsidRPr="006566B6" w:rsidRDefault="006566B6">
      <w:pPr>
        <w:ind w:left="426"/>
        <w:rPr>
          <w:sz w:val="20"/>
          <w:szCs w:val="20"/>
        </w:rPr>
      </w:pPr>
      <w:r w:rsidRPr="006566B6">
        <w:rPr>
          <w:sz w:val="20"/>
          <w:szCs w:val="20"/>
        </w:rPr>
        <w:t xml:space="preserve">Einen Überblick über unser gesamtes Produktprogramm an EPS Schäumen finden Sie unter </w:t>
      </w:r>
      <w:r w:rsidRPr="006566B6">
        <w:rPr>
          <w:b/>
          <w:sz w:val="20"/>
          <w:szCs w:val="20"/>
        </w:rPr>
        <w:t>www.nafab-foams.de</w:t>
      </w:r>
    </w:p>
    <w:p w:rsidR="006566B6" w:rsidRDefault="006566B6">
      <w:pPr>
        <w:ind w:left="426"/>
      </w:pPr>
    </w:p>
    <w:p w:rsidR="006566B6" w:rsidRPr="006566B6" w:rsidRDefault="006566B6" w:rsidP="006566B6">
      <w:pPr>
        <w:rPr>
          <w:sz w:val="16"/>
          <w:szCs w:val="16"/>
        </w:rPr>
      </w:pPr>
      <w:r w:rsidRPr="006566B6">
        <w:rPr>
          <w:sz w:val="16"/>
          <w:szCs w:val="16"/>
        </w:rPr>
        <w:t>Die Angaben in dieser Druck</w:t>
      </w:r>
      <w:r>
        <w:rPr>
          <w:sz w:val="16"/>
          <w:szCs w:val="16"/>
        </w:rPr>
        <w:t>schrift basieren auf unseren de</w:t>
      </w:r>
      <w:r w:rsidRPr="006566B6">
        <w:rPr>
          <w:sz w:val="16"/>
          <w:szCs w:val="16"/>
        </w:rPr>
        <w:t>zeitigen Kenntnissen und Erfahrungen. Garantie bestimmter Eigenschaften oder die Eignung des Produktes für einen konkreten Einsatzzweck kann aus unseren Angaben nicht abgeleitet werden. Zeichnungen, Fotografien, Daten, Verhältnisse, Gewichte, u.a. können sich ohne Vorankündigung ändern und stellen nicht die vertragliche vereinbarte Beschaffenheit des Produktes dar. Stand : Mai 2017</w:t>
      </w:r>
    </w:p>
    <w:sectPr w:rsidR="006566B6" w:rsidRPr="006566B6" w:rsidSect="001965C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80" w:rsidRDefault="00804B80" w:rsidP="00035E3E">
      <w:pPr>
        <w:spacing w:after="0" w:line="240" w:lineRule="auto"/>
      </w:pPr>
      <w:r>
        <w:separator/>
      </w:r>
    </w:p>
  </w:endnote>
  <w:endnote w:type="continuationSeparator" w:id="0">
    <w:p w:rsidR="00804B80" w:rsidRDefault="00804B80" w:rsidP="000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urostile Becker Black Extd">
    <w:altName w:val="Arial Black"/>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31016"/>
      <w:docPartObj>
        <w:docPartGallery w:val="Page Numbers (Bottom of Page)"/>
        <w:docPartUnique/>
      </w:docPartObj>
    </w:sdtPr>
    <w:sdtEndPr/>
    <w:sdtContent>
      <w:sdt>
        <w:sdtPr>
          <w:id w:val="-1769616900"/>
          <w:docPartObj>
            <w:docPartGallery w:val="Page Numbers (Top of Page)"/>
            <w:docPartUnique/>
          </w:docPartObj>
        </w:sdtPr>
        <w:sdtEndPr/>
        <w:sdtContent>
          <w:p w:rsidR="009A6CF5" w:rsidRDefault="009A6CF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FE0E39">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FE0E39">
              <w:rPr>
                <w:b/>
                <w:bCs/>
                <w:noProof/>
              </w:rPr>
              <w:t>6</w:t>
            </w:r>
            <w:r>
              <w:rPr>
                <w:b/>
                <w:bCs/>
                <w:sz w:val="24"/>
                <w:szCs w:val="24"/>
              </w:rPr>
              <w:fldChar w:fldCharType="end"/>
            </w:r>
          </w:p>
        </w:sdtContent>
      </w:sdt>
    </w:sdtContent>
  </w:sdt>
  <w:p w:rsidR="00035E3E" w:rsidRDefault="00035E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80" w:rsidRDefault="00804B80" w:rsidP="00035E3E">
      <w:pPr>
        <w:spacing w:after="0" w:line="240" w:lineRule="auto"/>
      </w:pPr>
      <w:r>
        <w:separator/>
      </w:r>
    </w:p>
  </w:footnote>
  <w:footnote w:type="continuationSeparator" w:id="0">
    <w:p w:rsidR="00804B80" w:rsidRDefault="00804B80" w:rsidP="00035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B8" w:rsidRDefault="003629E1">
    <w:pPr>
      <w:pStyle w:val="Kopfzeile"/>
    </w:pPr>
    <w:r>
      <w:rPr>
        <w:rFonts w:ascii="Eurostile Becker Black Extd" w:hAnsi="Eurostile Becker Black Extd"/>
        <w:noProof/>
      </w:rPr>
      <w:drawing>
        <wp:anchor distT="0" distB="0" distL="114300" distR="114300" simplePos="0" relativeHeight="251659264" behindDoc="0" locked="0" layoutInCell="1" allowOverlap="1" wp14:anchorId="1F5B71E5" wp14:editId="122D2946">
          <wp:simplePos x="0" y="0"/>
          <wp:positionH relativeFrom="page">
            <wp:posOffset>4685665</wp:posOffset>
          </wp:positionH>
          <wp:positionV relativeFrom="paragraph">
            <wp:posOffset>-640080</wp:posOffset>
          </wp:positionV>
          <wp:extent cx="2872105" cy="1089660"/>
          <wp:effectExtent l="0" t="0" r="4445" b="0"/>
          <wp:wrapThrough wrapText="bothSides">
            <wp:wrapPolygon edited="0">
              <wp:start x="0" y="0"/>
              <wp:lineTo x="0" y="21147"/>
              <wp:lineTo x="21490" y="21147"/>
              <wp:lineTo x="21490" y="0"/>
              <wp:lineTo x="0" y="0"/>
            </wp:wrapPolygon>
          </wp:wrapThrough>
          <wp:docPr id="2" name="Grafik 1" descr="nafab-foams-bw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fab-foams-bw_big.jpg"/>
                  <pic:cNvPicPr/>
                </pic:nvPicPr>
                <pic:blipFill>
                  <a:blip r:embed="rId1"/>
                  <a:stretch>
                    <a:fillRect/>
                  </a:stretch>
                </pic:blipFill>
                <pic:spPr>
                  <a:xfrm>
                    <a:off x="0" y="0"/>
                    <a:ext cx="2872105" cy="10896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825"/>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46E9A"/>
    <w:multiLevelType w:val="hybridMultilevel"/>
    <w:tmpl w:val="0BB68E10"/>
    <w:lvl w:ilvl="0" w:tplc="353206CC">
      <w:start w:val="6"/>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 w15:restartNumberingAfterBreak="0">
    <w:nsid w:val="079C1C1E"/>
    <w:multiLevelType w:val="hybridMultilevel"/>
    <w:tmpl w:val="9674745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6416479"/>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52182"/>
    <w:multiLevelType w:val="hybridMultilevel"/>
    <w:tmpl w:val="3F643BDC"/>
    <w:lvl w:ilvl="0" w:tplc="0407000F">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616EEF"/>
    <w:multiLevelType w:val="hybridMultilevel"/>
    <w:tmpl w:val="5DE8207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3BA03B1A"/>
    <w:multiLevelType w:val="hybridMultilevel"/>
    <w:tmpl w:val="1334F05A"/>
    <w:lvl w:ilvl="0" w:tplc="33CC734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415F1DBB"/>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9A17C0"/>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7B6BAD"/>
    <w:multiLevelType w:val="multilevel"/>
    <w:tmpl w:val="D0CA8CB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4B3444"/>
    <w:multiLevelType w:val="hybridMultilevel"/>
    <w:tmpl w:val="C9E624E0"/>
    <w:lvl w:ilvl="0" w:tplc="F01264B4">
      <w:start w:val="15"/>
      <w:numFmt w:val="decimal"/>
      <w:lvlText w:val="%1."/>
      <w:lvlJc w:val="left"/>
      <w:pPr>
        <w:ind w:left="872" w:hanging="360"/>
      </w:pPr>
      <w:rPr>
        <w:rFonts w:hint="default"/>
        <w:b/>
      </w:rPr>
    </w:lvl>
    <w:lvl w:ilvl="1" w:tplc="04070019">
      <w:start w:val="1"/>
      <w:numFmt w:val="lowerLetter"/>
      <w:lvlText w:val="%2."/>
      <w:lvlJc w:val="left"/>
      <w:pPr>
        <w:ind w:left="1592" w:hanging="360"/>
      </w:pPr>
    </w:lvl>
    <w:lvl w:ilvl="2" w:tplc="0407001B" w:tentative="1">
      <w:start w:val="1"/>
      <w:numFmt w:val="lowerRoman"/>
      <w:lvlText w:val="%3."/>
      <w:lvlJc w:val="right"/>
      <w:pPr>
        <w:ind w:left="2312" w:hanging="180"/>
      </w:pPr>
    </w:lvl>
    <w:lvl w:ilvl="3" w:tplc="0407000F" w:tentative="1">
      <w:start w:val="1"/>
      <w:numFmt w:val="decimal"/>
      <w:lvlText w:val="%4."/>
      <w:lvlJc w:val="left"/>
      <w:pPr>
        <w:ind w:left="3032" w:hanging="360"/>
      </w:pPr>
    </w:lvl>
    <w:lvl w:ilvl="4" w:tplc="04070019" w:tentative="1">
      <w:start w:val="1"/>
      <w:numFmt w:val="lowerLetter"/>
      <w:lvlText w:val="%5."/>
      <w:lvlJc w:val="left"/>
      <w:pPr>
        <w:ind w:left="3752" w:hanging="360"/>
      </w:pPr>
    </w:lvl>
    <w:lvl w:ilvl="5" w:tplc="0407001B" w:tentative="1">
      <w:start w:val="1"/>
      <w:numFmt w:val="lowerRoman"/>
      <w:lvlText w:val="%6."/>
      <w:lvlJc w:val="right"/>
      <w:pPr>
        <w:ind w:left="4472" w:hanging="180"/>
      </w:pPr>
    </w:lvl>
    <w:lvl w:ilvl="6" w:tplc="0407000F" w:tentative="1">
      <w:start w:val="1"/>
      <w:numFmt w:val="decimal"/>
      <w:lvlText w:val="%7."/>
      <w:lvlJc w:val="left"/>
      <w:pPr>
        <w:ind w:left="5192" w:hanging="360"/>
      </w:pPr>
    </w:lvl>
    <w:lvl w:ilvl="7" w:tplc="04070019" w:tentative="1">
      <w:start w:val="1"/>
      <w:numFmt w:val="lowerLetter"/>
      <w:lvlText w:val="%8."/>
      <w:lvlJc w:val="left"/>
      <w:pPr>
        <w:ind w:left="5912" w:hanging="360"/>
      </w:pPr>
    </w:lvl>
    <w:lvl w:ilvl="8" w:tplc="0407001B" w:tentative="1">
      <w:start w:val="1"/>
      <w:numFmt w:val="lowerRoman"/>
      <w:lvlText w:val="%9."/>
      <w:lvlJc w:val="right"/>
      <w:pPr>
        <w:ind w:left="6632" w:hanging="180"/>
      </w:pPr>
    </w:lvl>
  </w:abstractNum>
  <w:abstractNum w:abstractNumId="11" w15:restartNumberingAfterBreak="0">
    <w:nsid w:val="5B1175C6"/>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7C5770"/>
    <w:multiLevelType w:val="multilevel"/>
    <w:tmpl w:val="BE30ED1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6A5DFE"/>
    <w:multiLevelType w:val="multilevel"/>
    <w:tmpl w:val="1370263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8"/>
  </w:num>
  <w:num w:numId="3">
    <w:abstractNumId w:val="0"/>
  </w:num>
  <w:num w:numId="4">
    <w:abstractNumId w:val="3"/>
  </w:num>
  <w:num w:numId="5">
    <w:abstractNumId w:val="11"/>
  </w:num>
  <w:num w:numId="6">
    <w:abstractNumId w:val="1"/>
  </w:num>
  <w:num w:numId="7">
    <w:abstractNumId w:val="2"/>
  </w:num>
  <w:num w:numId="8">
    <w:abstractNumId w:val="5"/>
  </w:num>
  <w:num w:numId="9">
    <w:abstractNumId w:val="10"/>
  </w:num>
  <w:num w:numId="10">
    <w:abstractNumId w:val="13"/>
  </w:num>
  <w:num w:numId="11">
    <w:abstractNumId w:val="9"/>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F7"/>
    <w:rsid w:val="0000161A"/>
    <w:rsid w:val="00002003"/>
    <w:rsid w:val="000026D9"/>
    <w:rsid w:val="00002A8C"/>
    <w:rsid w:val="00002D4A"/>
    <w:rsid w:val="000041D4"/>
    <w:rsid w:val="00005D70"/>
    <w:rsid w:val="00006511"/>
    <w:rsid w:val="00007BE5"/>
    <w:rsid w:val="00007FF4"/>
    <w:rsid w:val="000111D6"/>
    <w:rsid w:val="0001186F"/>
    <w:rsid w:val="00012052"/>
    <w:rsid w:val="00012090"/>
    <w:rsid w:val="0001225D"/>
    <w:rsid w:val="00012DF5"/>
    <w:rsid w:val="0001316C"/>
    <w:rsid w:val="0001332B"/>
    <w:rsid w:val="000135C2"/>
    <w:rsid w:val="00013BE3"/>
    <w:rsid w:val="00013EF4"/>
    <w:rsid w:val="00014B78"/>
    <w:rsid w:val="00014E9E"/>
    <w:rsid w:val="0001603E"/>
    <w:rsid w:val="00016E5F"/>
    <w:rsid w:val="00020AEC"/>
    <w:rsid w:val="000223D3"/>
    <w:rsid w:val="00022959"/>
    <w:rsid w:val="00025224"/>
    <w:rsid w:val="00025ECB"/>
    <w:rsid w:val="000261FB"/>
    <w:rsid w:val="00027583"/>
    <w:rsid w:val="000300A7"/>
    <w:rsid w:val="00030740"/>
    <w:rsid w:val="00030D6B"/>
    <w:rsid w:val="00031AF3"/>
    <w:rsid w:val="0003368C"/>
    <w:rsid w:val="00033783"/>
    <w:rsid w:val="000340C4"/>
    <w:rsid w:val="000342ED"/>
    <w:rsid w:val="000342F0"/>
    <w:rsid w:val="00034B69"/>
    <w:rsid w:val="0003536A"/>
    <w:rsid w:val="00035E3E"/>
    <w:rsid w:val="00035E8A"/>
    <w:rsid w:val="00035EB6"/>
    <w:rsid w:val="000370DC"/>
    <w:rsid w:val="0003728A"/>
    <w:rsid w:val="00040021"/>
    <w:rsid w:val="0004072E"/>
    <w:rsid w:val="00040E86"/>
    <w:rsid w:val="0004240A"/>
    <w:rsid w:val="000430D0"/>
    <w:rsid w:val="00043660"/>
    <w:rsid w:val="00043730"/>
    <w:rsid w:val="000442C7"/>
    <w:rsid w:val="000443BC"/>
    <w:rsid w:val="000447E3"/>
    <w:rsid w:val="000449E4"/>
    <w:rsid w:val="000452B7"/>
    <w:rsid w:val="00046659"/>
    <w:rsid w:val="000467DB"/>
    <w:rsid w:val="00047148"/>
    <w:rsid w:val="000475D7"/>
    <w:rsid w:val="00047D8D"/>
    <w:rsid w:val="00047DF7"/>
    <w:rsid w:val="0005204C"/>
    <w:rsid w:val="00052986"/>
    <w:rsid w:val="00052A46"/>
    <w:rsid w:val="00052D6F"/>
    <w:rsid w:val="00053AFA"/>
    <w:rsid w:val="00054CA2"/>
    <w:rsid w:val="00056980"/>
    <w:rsid w:val="00056DB7"/>
    <w:rsid w:val="0005700C"/>
    <w:rsid w:val="00057266"/>
    <w:rsid w:val="00060FF6"/>
    <w:rsid w:val="00062BC1"/>
    <w:rsid w:val="00063945"/>
    <w:rsid w:val="00063A2C"/>
    <w:rsid w:val="0006480C"/>
    <w:rsid w:val="00064E1A"/>
    <w:rsid w:val="00065818"/>
    <w:rsid w:val="00066251"/>
    <w:rsid w:val="00066910"/>
    <w:rsid w:val="00066CF3"/>
    <w:rsid w:val="000677D5"/>
    <w:rsid w:val="00067918"/>
    <w:rsid w:val="00067DBE"/>
    <w:rsid w:val="00067FDD"/>
    <w:rsid w:val="00070A16"/>
    <w:rsid w:val="00071CC9"/>
    <w:rsid w:val="000732E4"/>
    <w:rsid w:val="00073705"/>
    <w:rsid w:val="000742AB"/>
    <w:rsid w:val="00074568"/>
    <w:rsid w:val="0007485B"/>
    <w:rsid w:val="00074E0C"/>
    <w:rsid w:val="000753BE"/>
    <w:rsid w:val="000773F0"/>
    <w:rsid w:val="00077661"/>
    <w:rsid w:val="00077ACC"/>
    <w:rsid w:val="000802BC"/>
    <w:rsid w:val="00082223"/>
    <w:rsid w:val="00082516"/>
    <w:rsid w:val="00082CF6"/>
    <w:rsid w:val="00083291"/>
    <w:rsid w:val="00083878"/>
    <w:rsid w:val="000840B2"/>
    <w:rsid w:val="000840C2"/>
    <w:rsid w:val="0008411D"/>
    <w:rsid w:val="00085C53"/>
    <w:rsid w:val="00085E8B"/>
    <w:rsid w:val="00086276"/>
    <w:rsid w:val="00086A55"/>
    <w:rsid w:val="00086E0C"/>
    <w:rsid w:val="00087FD4"/>
    <w:rsid w:val="000903D4"/>
    <w:rsid w:val="00090BC7"/>
    <w:rsid w:val="000916F5"/>
    <w:rsid w:val="00091B8F"/>
    <w:rsid w:val="00091DE5"/>
    <w:rsid w:val="000930CB"/>
    <w:rsid w:val="00093306"/>
    <w:rsid w:val="000935F9"/>
    <w:rsid w:val="00093ABC"/>
    <w:rsid w:val="00093C69"/>
    <w:rsid w:val="000941A5"/>
    <w:rsid w:val="000945B3"/>
    <w:rsid w:val="0009556D"/>
    <w:rsid w:val="000961F3"/>
    <w:rsid w:val="00096F72"/>
    <w:rsid w:val="00097EFB"/>
    <w:rsid w:val="000A002B"/>
    <w:rsid w:val="000A03E2"/>
    <w:rsid w:val="000A09CE"/>
    <w:rsid w:val="000A0F2B"/>
    <w:rsid w:val="000A398D"/>
    <w:rsid w:val="000A4336"/>
    <w:rsid w:val="000A4491"/>
    <w:rsid w:val="000A44EB"/>
    <w:rsid w:val="000A5358"/>
    <w:rsid w:val="000A5A10"/>
    <w:rsid w:val="000A64FA"/>
    <w:rsid w:val="000A6545"/>
    <w:rsid w:val="000B1342"/>
    <w:rsid w:val="000B1D37"/>
    <w:rsid w:val="000B28FE"/>
    <w:rsid w:val="000B2DD7"/>
    <w:rsid w:val="000B2FBC"/>
    <w:rsid w:val="000B3E90"/>
    <w:rsid w:val="000B50C6"/>
    <w:rsid w:val="000B5ED6"/>
    <w:rsid w:val="000B600A"/>
    <w:rsid w:val="000B7936"/>
    <w:rsid w:val="000B79DE"/>
    <w:rsid w:val="000C0A5A"/>
    <w:rsid w:val="000C128E"/>
    <w:rsid w:val="000C155C"/>
    <w:rsid w:val="000C4631"/>
    <w:rsid w:val="000C4B76"/>
    <w:rsid w:val="000C4C68"/>
    <w:rsid w:val="000C5F75"/>
    <w:rsid w:val="000C6738"/>
    <w:rsid w:val="000C6740"/>
    <w:rsid w:val="000C792C"/>
    <w:rsid w:val="000D18DC"/>
    <w:rsid w:val="000D2324"/>
    <w:rsid w:val="000D32CD"/>
    <w:rsid w:val="000D4412"/>
    <w:rsid w:val="000D4B53"/>
    <w:rsid w:val="000D5958"/>
    <w:rsid w:val="000D6156"/>
    <w:rsid w:val="000D6769"/>
    <w:rsid w:val="000D6AB8"/>
    <w:rsid w:val="000D6BAC"/>
    <w:rsid w:val="000E03BA"/>
    <w:rsid w:val="000E0AC4"/>
    <w:rsid w:val="000E2160"/>
    <w:rsid w:val="000E264B"/>
    <w:rsid w:val="000E3157"/>
    <w:rsid w:val="000E49E5"/>
    <w:rsid w:val="000E4FDB"/>
    <w:rsid w:val="000E5FA4"/>
    <w:rsid w:val="000E6312"/>
    <w:rsid w:val="000E63A6"/>
    <w:rsid w:val="000E64ED"/>
    <w:rsid w:val="000E654D"/>
    <w:rsid w:val="000E6953"/>
    <w:rsid w:val="000E73C9"/>
    <w:rsid w:val="000E790B"/>
    <w:rsid w:val="000F152C"/>
    <w:rsid w:val="000F19B4"/>
    <w:rsid w:val="000F1D5E"/>
    <w:rsid w:val="000F2173"/>
    <w:rsid w:val="000F26C8"/>
    <w:rsid w:val="000F2913"/>
    <w:rsid w:val="000F2FD8"/>
    <w:rsid w:val="000F3B3E"/>
    <w:rsid w:val="000F4024"/>
    <w:rsid w:val="000F4A7C"/>
    <w:rsid w:val="000F5CAF"/>
    <w:rsid w:val="000F6591"/>
    <w:rsid w:val="000F6B83"/>
    <w:rsid w:val="000F73E5"/>
    <w:rsid w:val="0010065A"/>
    <w:rsid w:val="00100758"/>
    <w:rsid w:val="00100FFC"/>
    <w:rsid w:val="00101238"/>
    <w:rsid w:val="00103830"/>
    <w:rsid w:val="00104184"/>
    <w:rsid w:val="001041DC"/>
    <w:rsid w:val="0010479A"/>
    <w:rsid w:val="00104D01"/>
    <w:rsid w:val="001056AD"/>
    <w:rsid w:val="00106B7B"/>
    <w:rsid w:val="001074AC"/>
    <w:rsid w:val="00107E8D"/>
    <w:rsid w:val="001103F1"/>
    <w:rsid w:val="00110803"/>
    <w:rsid w:val="00110CA3"/>
    <w:rsid w:val="00111257"/>
    <w:rsid w:val="0011129C"/>
    <w:rsid w:val="0011167F"/>
    <w:rsid w:val="001118B2"/>
    <w:rsid w:val="00112DA6"/>
    <w:rsid w:val="00113398"/>
    <w:rsid w:val="00114234"/>
    <w:rsid w:val="00114A9D"/>
    <w:rsid w:val="00115CF6"/>
    <w:rsid w:val="00116469"/>
    <w:rsid w:val="001175A2"/>
    <w:rsid w:val="00120F77"/>
    <w:rsid w:val="001211E1"/>
    <w:rsid w:val="00122A9E"/>
    <w:rsid w:val="00122B7F"/>
    <w:rsid w:val="0012490D"/>
    <w:rsid w:val="00125AB9"/>
    <w:rsid w:val="00126404"/>
    <w:rsid w:val="0012642B"/>
    <w:rsid w:val="0012675F"/>
    <w:rsid w:val="00126760"/>
    <w:rsid w:val="001272C2"/>
    <w:rsid w:val="001278D7"/>
    <w:rsid w:val="00130320"/>
    <w:rsid w:val="0013205D"/>
    <w:rsid w:val="001338CC"/>
    <w:rsid w:val="00134024"/>
    <w:rsid w:val="001345E5"/>
    <w:rsid w:val="00135ABD"/>
    <w:rsid w:val="001378FA"/>
    <w:rsid w:val="00137C55"/>
    <w:rsid w:val="00140F1D"/>
    <w:rsid w:val="00141469"/>
    <w:rsid w:val="00142EDD"/>
    <w:rsid w:val="001435EA"/>
    <w:rsid w:val="00145219"/>
    <w:rsid w:val="00145798"/>
    <w:rsid w:val="001458B2"/>
    <w:rsid w:val="00145C35"/>
    <w:rsid w:val="00145C88"/>
    <w:rsid w:val="00146585"/>
    <w:rsid w:val="00146F1A"/>
    <w:rsid w:val="0014731B"/>
    <w:rsid w:val="00147834"/>
    <w:rsid w:val="00150601"/>
    <w:rsid w:val="001510D4"/>
    <w:rsid w:val="001514A0"/>
    <w:rsid w:val="00151506"/>
    <w:rsid w:val="00152328"/>
    <w:rsid w:val="00152562"/>
    <w:rsid w:val="0015324B"/>
    <w:rsid w:val="001538D5"/>
    <w:rsid w:val="00154103"/>
    <w:rsid w:val="0015456B"/>
    <w:rsid w:val="00154BDC"/>
    <w:rsid w:val="00156096"/>
    <w:rsid w:val="00157353"/>
    <w:rsid w:val="00157461"/>
    <w:rsid w:val="0015751B"/>
    <w:rsid w:val="00157854"/>
    <w:rsid w:val="00160934"/>
    <w:rsid w:val="00160E88"/>
    <w:rsid w:val="00161B54"/>
    <w:rsid w:val="0016240F"/>
    <w:rsid w:val="0016246A"/>
    <w:rsid w:val="00163116"/>
    <w:rsid w:val="0016392B"/>
    <w:rsid w:val="00164342"/>
    <w:rsid w:val="001667C2"/>
    <w:rsid w:val="001677FB"/>
    <w:rsid w:val="00167D5E"/>
    <w:rsid w:val="0017132C"/>
    <w:rsid w:val="001725D2"/>
    <w:rsid w:val="00172CA7"/>
    <w:rsid w:val="00172F15"/>
    <w:rsid w:val="00173293"/>
    <w:rsid w:val="0017374C"/>
    <w:rsid w:val="0017457A"/>
    <w:rsid w:val="00174B58"/>
    <w:rsid w:val="00174B64"/>
    <w:rsid w:val="001761DE"/>
    <w:rsid w:val="00176567"/>
    <w:rsid w:val="00176E68"/>
    <w:rsid w:val="00177BCC"/>
    <w:rsid w:val="0018126E"/>
    <w:rsid w:val="001822B8"/>
    <w:rsid w:val="00182F66"/>
    <w:rsid w:val="0018306B"/>
    <w:rsid w:val="001830A3"/>
    <w:rsid w:val="001831A1"/>
    <w:rsid w:val="00184B54"/>
    <w:rsid w:val="00184EC4"/>
    <w:rsid w:val="00185B9C"/>
    <w:rsid w:val="001867E1"/>
    <w:rsid w:val="001906C3"/>
    <w:rsid w:val="00190DBC"/>
    <w:rsid w:val="001925A0"/>
    <w:rsid w:val="001929C6"/>
    <w:rsid w:val="00194128"/>
    <w:rsid w:val="00194A45"/>
    <w:rsid w:val="001959DA"/>
    <w:rsid w:val="00196077"/>
    <w:rsid w:val="001965C0"/>
    <w:rsid w:val="0019765B"/>
    <w:rsid w:val="00197D07"/>
    <w:rsid w:val="001A095D"/>
    <w:rsid w:val="001A0CE7"/>
    <w:rsid w:val="001A0FC8"/>
    <w:rsid w:val="001A2BAC"/>
    <w:rsid w:val="001A3080"/>
    <w:rsid w:val="001A355A"/>
    <w:rsid w:val="001A3F32"/>
    <w:rsid w:val="001A4DD9"/>
    <w:rsid w:val="001A4F3F"/>
    <w:rsid w:val="001A6F7F"/>
    <w:rsid w:val="001A7712"/>
    <w:rsid w:val="001B1040"/>
    <w:rsid w:val="001B170F"/>
    <w:rsid w:val="001B1E8A"/>
    <w:rsid w:val="001B2090"/>
    <w:rsid w:val="001B2397"/>
    <w:rsid w:val="001B2676"/>
    <w:rsid w:val="001B3526"/>
    <w:rsid w:val="001B5204"/>
    <w:rsid w:val="001B5394"/>
    <w:rsid w:val="001B5736"/>
    <w:rsid w:val="001B71B2"/>
    <w:rsid w:val="001C05CD"/>
    <w:rsid w:val="001C08D6"/>
    <w:rsid w:val="001C117D"/>
    <w:rsid w:val="001C14AA"/>
    <w:rsid w:val="001C35DF"/>
    <w:rsid w:val="001C4BF4"/>
    <w:rsid w:val="001C60D1"/>
    <w:rsid w:val="001C6243"/>
    <w:rsid w:val="001C63B5"/>
    <w:rsid w:val="001C6963"/>
    <w:rsid w:val="001C6E2E"/>
    <w:rsid w:val="001C70A6"/>
    <w:rsid w:val="001C74F3"/>
    <w:rsid w:val="001C7EC8"/>
    <w:rsid w:val="001D0262"/>
    <w:rsid w:val="001D064D"/>
    <w:rsid w:val="001D0DC8"/>
    <w:rsid w:val="001D1227"/>
    <w:rsid w:val="001D1EF3"/>
    <w:rsid w:val="001D2FD7"/>
    <w:rsid w:val="001D4575"/>
    <w:rsid w:val="001D46BD"/>
    <w:rsid w:val="001D5B1C"/>
    <w:rsid w:val="001D6263"/>
    <w:rsid w:val="001D6D15"/>
    <w:rsid w:val="001D7272"/>
    <w:rsid w:val="001D77CA"/>
    <w:rsid w:val="001D7863"/>
    <w:rsid w:val="001D7D60"/>
    <w:rsid w:val="001E0BBD"/>
    <w:rsid w:val="001E1A27"/>
    <w:rsid w:val="001E2153"/>
    <w:rsid w:val="001E24B4"/>
    <w:rsid w:val="001E2A16"/>
    <w:rsid w:val="001E3D1F"/>
    <w:rsid w:val="001E3E8C"/>
    <w:rsid w:val="001E40D3"/>
    <w:rsid w:val="001E411B"/>
    <w:rsid w:val="001E4D16"/>
    <w:rsid w:val="001E638F"/>
    <w:rsid w:val="001E6979"/>
    <w:rsid w:val="001F018E"/>
    <w:rsid w:val="001F0597"/>
    <w:rsid w:val="001F1606"/>
    <w:rsid w:val="001F20F4"/>
    <w:rsid w:val="001F281B"/>
    <w:rsid w:val="001F3C6B"/>
    <w:rsid w:val="001F4490"/>
    <w:rsid w:val="001F470A"/>
    <w:rsid w:val="001F4D48"/>
    <w:rsid w:val="001F629B"/>
    <w:rsid w:val="001F6555"/>
    <w:rsid w:val="001F7971"/>
    <w:rsid w:val="002013DB"/>
    <w:rsid w:val="00201547"/>
    <w:rsid w:val="00201A97"/>
    <w:rsid w:val="00201B9A"/>
    <w:rsid w:val="00201C6B"/>
    <w:rsid w:val="00202337"/>
    <w:rsid w:val="0020258B"/>
    <w:rsid w:val="00202660"/>
    <w:rsid w:val="00202A61"/>
    <w:rsid w:val="00202ADE"/>
    <w:rsid w:val="00202C93"/>
    <w:rsid w:val="002031F8"/>
    <w:rsid w:val="00203261"/>
    <w:rsid w:val="00203331"/>
    <w:rsid w:val="0020350F"/>
    <w:rsid w:val="0020361A"/>
    <w:rsid w:val="00203621"/>
    <w:rsid w:val="002038A2"/>
    <w:rsid w:val="00203B8F"/>
    <w:rsid w:val="0020425C"/>
    <w:rsid w:val="002047CD"/>
    <w:rsid w:val="002049CA"/>
    <w:rsid w:val="00205B8E"/>
    <w:rsid w:val="0020704C"/>
    <w:rsid w:val="00211C54"/>
    <w:rsid w:val="00211EE7"/>
    <w:rsid w:val="0021326D"/>
    <w:rsid w:val="002135BA"/>
    <w:rsid w:val="002136DB"/>
    <w:rsid w:val="00214692"/>
    <w:rsid w:val="002148B8"/>
    <w:rsid w:val="00215AEC"/>
    <w:rsid w:val="00215D2B"/>
    <w:rsid w:val="00216348"/>
    <w:rsid w:val="00216E45"/>
    <w:rsid w:val="00217483"/>
    <w:rsid w:val="00217927"/>
    <w:rsid w:val="002217AF"/>
    <w:rsid w:val="0022366A"/>
    <w:rsid w:val="00223A0F"/>
    <w:rsid w:val="00223D1D"/>
    <w:rsid w:val="00223FD1"/>
    <w:rsid w:val="0022587A"/>
    <w:rsid w:val="00225C04"/>
    <w:rsid w:val="002271F0"/>
    <w:rsid w:val="00227352"/>
    <w:rsid w:val="002275E6"/>
    <w:rsid w:val="002302EE"/>
    <w:rsid w:val="00230BC5"/>
    <w:rsid w:val="0023234C"/>
    <w:rsid w:val="0023270B"/>
    <w:rsid w:val="00232A59"/>
    <w:rsid w:val="00232E61"/>
    <w:rsid w:val="002339F0"/>
    <w:rsid w:val="00233F15"/>
    <w:rsid w:val="00234AB1"/>
    <w:rsid w:val="002358FC"/>
    <w:rsid w:val="00236E7F"/>
    <w:rsid w:val="00237451"/>
    <w:rsid w:val="00241162"/>
    <w:rsid w:val="00241258"/>
    <w:rsid w:val="00241695"/>
    <w:rsid w:val="00242811"/>
    <w:rsid w:val="00242910"/>
    <w:rsid w:val="00242E0D"/>
    <w:rsid w:val="00242EDE"/>
    <w:rsid w:val="00243D8B"/>
    <w:rsid w:val="00243EFA"/>
    <w:rsid w:val="00245BE8"/>
    <w:rsid w:val="00245E8F"/>
    <w:rsid w:val="00246CED"/>
    <w:rsid w:val="0024772A"/>
    <w:rsid w:val="00250B80"/>
    <w:rsid w:val="00250BA2"/>
    <w:rsid w:val="00250BB7"/>
    <w:rsid w:val="00250D54"/>
    <w:rsid w:val="00251449"/>
    <w:rsid w:val="00252027"/>
    <w:rsid w:val="00253BE7"/>
    <w:rsid w:val="0025455E"/>
    <w:rsid w:val="0025457D"/>
    <w:rsid w:val="00254CEA"/>
    <w:rsid w:val="00254CF3"/>
    <w:rsid w:val="00254EC0"/>
    <w:rsid w:val="00255680"/>
    <w:rsid w:val="0025637F"/>
    <w:rsid w:val="00257058"/>
    <w:rsid w:val="002571E0"/>
    <w:rsid w:val="00257C2E"/>
    <w:rsid w:val="00260549"/>
    <w:rsid w:val="002607F7"/>
    <w:rsid w:val="0026099A"/>
    <w:rsid w:val="00265253"/>
    <w:rsid w:val="002652A8"/>
    <w:rsid w:val="002664D8"/>
    <w:rsid w:val="00267075"/>
    <w:rsid w:val="002673C6"/>
    <w:rsid w:val="00267434"/>
    <w:rsid w:val="00270274"/>
    <w:rsid w:val="00270954"/>
    <w:rsid w:val="00271046"/>
    <w:rsid w:val="002710A5"/>
    <w:rsid w:val="0027243F"/>
    <w:rsid w:val="0027270E"/>
    <w:rsid w:val="00273101"/>
    <w:rsid w:val="00273B01"/>
    <w:rsid w:val="00273DE0"/>
    <w:rsid w:val="002755A8"/>
    <w:rsid w:val="002758B1"/>
    <w:rsid w:val="00277572"/>
    <w:rsid w:val="002779F2"/>
    <w:rsid w:val="00277CBE"/>
    <w:rsid w:val="00282000"/>
    <w:rsid w:val="00282E9C"/>
    <w:rsid w:val="002835A8"/>
    <w:rsid w:val="00283B2A"/>
    <w:rsid w:val="002840EB"/>
    <w:rsid w:val="00284727"/>
    <w:rsid w:val="00284802"/>
    <w:rsid w:val="00284D96"/>
    <w:rsid w:val="00284FE5"/>
    <w:rsid w:val="00285527"/>
    <w:rsid w:val="002877BD"/>
    <w:rsid w:val="002905AD"/>
    <w:rsid w:val="002907DA"/>
    <w:rsid w:val="00291587"/>
    <w:rsid w:val="00292900"/>
    <w:rsid w:val="00292A3C"/>
    <w:rsid w:val="00292D65"/>
    <w:rsid w:val="00292EFB"/>
    <w:rsid w:val="00297254"/>
    <w:rsid w:val="0029755F"/>
    <w:rsid w:val="002A049E"/>
    <w:rsid w:val="002A06A6"/>
    <w:rsid w:val="002A0B79"/>
    <w:rsid w:val="002A0C07"/>
    <w:rsid w:val="002A1165"/>
    <w:rsid w:val="002A161A"/>
    <w:rsid w:val="002A2F6C"/>
    <w:rsid w:val="002A308D"/>
    <w:rsid w:val="002A3BA3"/>
    <w:rsid w:val="002A4608"/>
    <w:rsid w:val="002A4AB0"/>
    <w:rsid w:val="002A67BA"/>
    <w:rsid w:val="002A7274"/>
    <w:rsid w:val="002A79DD"/>
    <w:rsid w:val="002A7AC4"/>
    <w:rsid w:val="002B0685"/>
    <w:rsid w:val="002B0E0E"/>
    <w:rsid w:val="002B0E74"/>
    <w:rsid w:val="002B541B"/>
    <w:rsid w:val="002B554C"/>
    <w:rsid w:val="002B70D4"/>
    <w:rsid w:val="002B7139"/>
    <w:rsid w:val="002B739C"/>
    <w:rsid w:val="002B7C29"/>
    <w:rsid w:val="002C0733"/>
    <w:rsid w:val="002C0759"/>
    <w:rsid w:val="002C0A38"/>
    <w:rsid w:val="002C11F7"/>
    <w:rsid w:val="002C1ED0"/>
    <w:rsid w:val="002C219D"/>
    <w:rsid w:val="002C2BB2"/>
    <w:rsid w:val="002C2F2A"/>
    <w:rsid w:val="002C4B76"/>
    <w:rsid w:val="002C6530"/>
    <w:rsid w:val="002C6648"/>
    <w:rsid w:val="002C7C9A"/>
    <w:rsid w:val="002D042B"/>
    <w:rsid w:val="002D13CE"/>
    <w:rsid w:val="002D1523"/>
    <w:rsid w:val="002D2A77"/>
    <w:rsid w:val="002D373A"/>
    <w:rsid w:val="002D38A9"/>
    <w:rsid w:val="002D4655"/>
    <w:rsid w:val="002D5017"/>
    <w:rsid w:val="002D5EF2"/>
    <w:rsid w:val="002D6308"/>
    <w:rsid w:val="002D743E"/>
    <w:rsid w:val="002D7BC8"/>
    <w:rsid w:val="002E003B"/>
    <w:rsid w:val="002E1DBD"/>
    <w:rsid w:val="002E1F02"/>
    <w:rsid w:val="002E3614"/>
    <w:rsid w:val="002E4059"/>
    <w:rsid w:val="002E46F7"/>
    <w:rsid w:val="002E4CD4"/>
    <w:rsid w:val="002E5C16"/>
    <w:rsid w:val="002E5DD9"/>
    <w:rsid w:val="002E68C9"/>
    <w:rsid w:val="002E733F"/>
    <w:rsid w:val="002E7A65"/>
    <w:rsid w:val="002E7B6D"/>
    <w:rsid w:val="002E7C04"/>
    <w:rsid w:val="002F01CB"/>
    <w:rsid w:val="002F0485"/>
    <w:rsid w:val="002F090B"/>
    <w:rsid w:val="002F0C82"/>
    <w:rsid w:val="002F0EA9"/>
    <w:rsid w:val="002F128B"/>
    <w:rsid w:val="002F2FFD"/>
    <w:rsid w:val="002F36A9"/>
    <w:rsid w:val="002F3C64"/>
    <w:rsid w:val="002F5713"/>
    <w:rsid w:val="002F5C81"/>
    <w:rsid w:val="002F612A"/>
    <w:rsid w:val="002F666B"/>
    <w:rsid w:val="002F699D"/>
    <w:rsid w:val="002F6C21"/>
    <w:rsid w:val="002F7405"/>
    <w:rsid w:val="002F7CC4"/>
    <w:rsid w:val="00300A27"/>
    <w:rsid w:val="00301094"/>
    <w:rsid w:val="003029D7"/>
    <w:rsid w:val="00302AD6"/>
    <w:rsid w:val="00302BFB"/>
    <w:rsid w:val="003037CD"/>
    <w:rsid w:val="0030439F"/>
    <w:rsid w:val="003047A5"/>
    <w:rsid w:val="00304BE7"/>
    <w:rsid w:val="003051EA"/>
    <w:rsid w:val="003054EB"/>
    <w:rsid w:val="00307491"/>
    <w:rsid w:val="0030752A"/>
    <w:rsid w:val="003075D2"/>
    <w:rsid w:val="00310DAA"/>
    <w:rsid w:val="003110DD"/>
    <w:rsid w:val="003113AE"/>
    <w:rsid w:val="00311495"/>
    <w:rsid w:val="00312118"/>
    <w:rsid w:val="00312570"/>
    <w:rsid w:val="00312C29"/>
    <w:rsid w:val="00312D53"/>
    <w:rsid w:val="00313ADE"/>
    <w:rsid w:val="00316035"/>
    <w:rsid w:val="00317349"/>
    <w:rsid w:val="00320429"/>
    <w:rsid w:val="00320CF6"/>
    <w:rsid w:val="00321499"/>
    <w:rsid w:val="00321DBD"/>
    <w:rsid w:val="00321E05"/>
    <w:rsid w:val="0032207C"/>
    <w:rsid w:val="0032220A"/>
    <w:rsid w:val="003222A2"/>
    <w:rsid w:val="00322BB1"/>
    <w:rsid w:val="00323FC7"/>
    <w:rsid w:val="0032458D"/>
    <w:rsid w:val="003249C1"/>
    <w:rsid w:val="00325F27"/>
    <w:rsid w:val="003267D4"/>
    <w:rsid w:val="00330320"/>
    <w:rsid w:val="003305CD"/>
    <w:rsid w:val="00331300"/>
    <w:rsid w:val="00332467"/>
    <w:rsid w:val="00332B63"/>
    <w:rsid w:val="00333AE0"/>
    <w:rsid w:val="00333F9B"/>
    <w:rsid w:val="003348F4"/>
    <w:rsid w:val="00336C5F"/>
    <w:rsid w:val="0034065D"/>
    <w:rsid w:val="003407D4"/>
    <w:rsid w:val="00340890"/>
    <w:rsid w:val="003412D5"/>
    <w:rsid w:val="0034150C"/>
    <w:rsid w:val="00341928"/>
    <w:rsid w:val="00342186"/>
    <w:rsid w:val="00342C42"/>
    <w:rsid w:val="00344567"/>
    <w:rsid w:val="003446ED"/>
    <w:rsid w:val="00345588"/>
    <w:rsid w:val="00345D1E"/>
    <w:rsid w:val="00346968"/>
    <w:rsid w:val="00346B70"/>
    <w:rsid w:val="00347004"/>
    <w:rsid w:val="0034720E"/>
    <w:rsid w:val="00347693"/>
    <w:rsid w:val="003513C7"/>
    <w:rsid w:val="00352473"/>
    <w:rsid w:val="003527D7"/>
    <w:rsid w:val="003533ED"/>
    <w:rsid w:val="0035422E"/>
    <w:rsid w:val="00354BC1"/>
    <w:rsid w:val="00355AD5"/>
    <w:rsid w:val="00355CF6"/>
    <w:rsid w:val="00360294"/>
    <w:rsid w:val="00361C0E"/>
    <w:rsid w:val="00361C66"/>
    <w:rsid w:val="00361E25"/>
    <w:rsid w:val="003625D4"/>
    <w:rsid w:val="003629E1"/>
    <w:rsid w:val="003629E3"/>
    <w:rsid w:val="00362BF7"/>
    <w:rsid w:val="0036346F"/>
    <w:rsid w:val="00364928"/>
    <w:rsid w:val="00364CA9"/>
    <w:rsid w:val="003651E8"/>
    <w:rsid w:val="00366131"/>
    <w:rsid w:val="00370565"/>
    <w:rsid w:val="00371224"/>
    <w:rsid w:val="0037185F"/>
    <w:rsid w:val="00372148"/>
    <w:rsid w:val="00372645"/>
    <w:rsid w:val="00373F13"/>
    <w:rsid w:val="00374150"/>
    <w:rsid w:val="00374452"/>
    <w:rsid w:val="003745F7"/>
    <w:rsid w:val="00374720"/>
    <w:rsid w:val="0037523B"/>
    <w:rsid w:val="003766A3"/>
    <w:rsid w:val="003768A1"/>
    <w:rsid w:val="00377141"/>
    <w:rsid w:val="0038003C"/>
    <w:rsid w:val="003804F2"/>
    <w:rsid w:val="0038247B"/>
    <w:rsid w:val="00382DD0"/>
    <w:rsid w:val="003831C6"/>
    <w:rsid w:val="0038334B"/>
    <w:rsid w:val="003845DD"/>
    <w:rsid w:val="0038587D"/>
    <w:rsid w:val="00386179"/>
    <w:rsid w:val="00386820"/>
    <w:rsid w:val="00386B32"/>
    <w:rsid w:val="00387290"/>
    <w:rsid w:val="00390697"/>
    <w:rsid w:val="003907EE"/>
    <w:rsid w:val="0039124F"/>
    <w:rsid w:val="00391414"/>
    <w:rsid w:val="00391749"/>
    <w:rsid w:val="00391C8D"/>
    <w:rsid w:val="00391EDA"/>
    <w:rsid w:val="003933B6"/>
    <w:rsid w:val="00394401"/>
    <w:rsid w:val="00394438"/>
    <w:rsid w:val="00395450"/>
    <w:rsid w:val="00395535"/>
    <w:rsid w:val="0039603E"/>
    <w:rsid w:val="0039672C"/>
    <w:rsid w:val="00396906"/>
    <w:rsid w:val="003969F5"/>
    <w:rsid w:val="00396EDE"/>
    <w:rsid w:val="00397C65"/>
    <w:rsid w:val="00397DCD"/>
    <w:rsid w:val="003A0DE5"/>
    <w:rsid w:val="003A0ED0"/>
    <w:rsid w:val="003A178B"/>
    <w:rsid w:val="003A2D2B"/>
    <w:rsid w:val="003A42B3"/>
    <w:rsid w:val="003A466C"/>
    <w:rsid w:val="003A46CF"/>
    <w:rsid w:val="003A5734"/>
    <w:rsid w:val="003A6524"/>
    <w:rsid w:val="003A6FFD"/>
    <w:rsid w:val="003A7404"/>
    <w:rsid w:val="003A755D"/>
    <w:rsid w:val="003B0424"/>
    <w:rsid w:val="003B1259"/>
    <w:rsid w:val="003B12C3"/>
    <w:rsid w:val="003B1F2B"/>
    <w:rsid w:val="003B2334"/>
    <w:rsid w:val="003B2F27"/>
    <w:rsid w:val="003B3357"/>
    <w:rsid w:val="003B370C"/>
    <w:rsid w:val="003B4143"/>
    <w:rsid w:val="003B47AB"/>
    <w:rsid w:val="003B62D4"/>
    <w:rsid w:val="003B653E"/>
    <w:rsid w:val="003C0185"/>
    <w:rsid w:val="003C02E5"/>
    <w:rsid w:val="003C08A7"/>
    <w:rsid w:val="003C09ED"/>
    <w:rsid w:val="003C3409"/>
    <w:rsid w:val="003C3427"/>
    <w:rsid w:val="003C40B7"/>
    <w:rsid w:val="003C4B56"/>
    <w:rsid w:val="003C563A"/>
    <w:rsid w:val="003C5D3C"/>
    <w:rsid w:val="003C6609"/>
    <w:rsid w:val="003C6774"/>
    <w:rsid w:val="003C697B"/>
    <w:rsid w:val="003C69FC"/>
    <w:rsid w:val="003C6F49"/>
    <w:rsid w:val="003D01CA"/>
    <w:rsid w:val="003D058F"/>
    <w:rsid w:val="003D0910"/>
    <w:rsid w:val="003D1032"/>
    <w:rsid w:val="003D18AC"/>
    <w:rsid w:val="003D1915"/>
    <w:rsid w:val="003D1AAA"/>
    <w:rsid w:val="003D1EBB"/>
    <w:rsid w:val="003D449C"/>
    <w:rsid w:val="003D4D99"/>
    <w:rsid w:val="003D56AC"/>
    <w:rsid w:val="003D5FBF"/>
    <w:rsid w:val="003D6996"/>
    <w:rsid w:val="003D7136"/>
    <w:rsid w:val="003D73F9"/>
    <w:rsid w:val="003D7ECF"/>
    <w:rsid w:val="003E010A"/>
    <w:rsid w:val="003E0333"/>
    <w:rsid w:val="003E0D9B"/>
    <w:rsid w:val="003E190A"/>
    <w:rsid w:val="003E2283"/>
    <w:rsid w:val="003E2A0B"/>
    <w:rsid w:val="003E43A9"/>
    <w:rsid w:val="003E5DF1"/>
    <w:rsid w:val="003E65FA"/>
    <w:rsid w:val="003E666B"/>
    <w:rsid w:val="003E6C8A"/>
    <w:rsid w:val="003E7CC1"/>
    <w:rsid w:val="003F0420"/>
    <w:rsid w:val="003F0DBD"/>
    <w:rsid w:val="003F10E2"/>
    <w:rsid w:val="003F2C94"/>
    <w:rsid w:val="003F3AB9"/>
    <w:rsid w:val="003F432A"/>
    <w:rsid w:val="003F4862"/>
    <w:rsid w:val="003F531C"/>
    <w:rsid w:val="003F5FB6"/>
    <w:rsid w:val="003F758C"/>
    <w:rsid w:val="00400274"/>
    <w:rsid w:val="00400344"/>
    <w:rsid w:val="00400F2A"/>
    <w:rsid w:val="00401194"/>
    <w:rsid w:val="00401220"/>
    <w:rsid w:val="00401432"/>
    <w:rsid w:val="00401AEE"/>
    <w:rsid w:val="00402CF7"/>
    <w:rsid w:val="00402FCA"/>
    <w:rsid w:val="00403849"/>
    <w:rsid w:val="004038D5"/>
    <w:rsid w:val="00403A16"/>
    <w:rsid w:val="004048A7"/>
    <w:rsid w:val="004049B1"/>
    <w:rsid w:val="00406542"/>
    <w:rsid w:val="00406AF5"/>
    <w:rsid w:val="00406C90"/>
    <w:rsid w:val="00407110"/>
    <w:rsid w:val="004072B4"/>
    <w:rsid w:val="00407994"/>
    <w:rsid w:val="004079ED"/>
    <w:rsid w:val="0041046E"/>
    <w:rsid w:val="00411F6D"/>
    <w:rsid w:val="00412617"/>
    <w:rsid w:val="00412FFB"/>
    <w:rsid w:val="00413307"/>
    <w:rsid w:val="004149DD"/>
    <w:rsid w:val="004155D8"/>
    <w:rsid w:val="00415942"/>
    <w:rsid w:val="0041750D"/>
    <w:rsid w:val="00417B2F"/>
    <w:rsid w:val="0042002E"/>
    <w:rsid w:val="00420209"/>
    <w:rsid w:val="00420EE4"/>
    <w:rsid w:val="00422B74"/>
    <w:rsid w:val="0042330E"/>
    <w:rsid w:val="00423F00"/>
    <w:rsid w:val="004246AE"/>
    <w:rsid w:val="00424CC0"/>
    <w:rsid w:val="00425D29"/>
    <w:rsid w:val="00425D34"/>
    <w:rsid w:val="00425DFA"/>
    <w:rsid w:val="00425EE2"/>
    <w:rsid w:val="00426152"/>
    <w:rsid w:val="00426181"/>
    <w:rsid w:val="0042745E"/>
    <w:rsid w:val="00427B8A"/>
    <w:rsid w:val="00431829"/>
    <w:rsid w:val="00431B1D"/>
    <w:rsid w:val="00431EFD"/>
    <w:rsid w:val="00432AE1"/>
    <w:rsid w:val="0043467C"/>
    <w:rsid w:val="00435525"/>
    <w:rsid w:val="00435780"/>
    <w:rsid w:val="00435D9D"/>
    <w:rsid w:val="0043649C"/>
    <w:rsid w:val="0043711B"/>
    <w:rsid w:val="004378C9"/>
    <w:rsid w:val="00437A04"/>
    <w:rsid w:val="00437E4F"/>
    <w:rsid w:val="00441BD3"/>
    <w:rsid w:val="004429CF"/>
    <w:rsid w:val="004434FD"/>
    <w:rsid w:val="00443950"/>
    <w:rsid w:val="00443E5F"/>
    <w:rsid w:val="004444A7"/>
    <w:rsid w:val="004446E2"/>
    <w:rsid w:val="004447EA"/>
    <w:rsid w:val="00444D13"/>
    <w:rsid w:val="0044572F"/>
    <w:rsid w:val="0044586A"/>
    <w:rsid w:val="00446ABD"/>
    <w:rsid w:val="0044739E"/>
    <w:rsid w:val="00447429"/>
    <w:rsid w:val="00447431"/>
    <w:rsid w:val="00447FEF"/>
    <w:rsid w:val="00450EA6"/>
    <w:rsid w:val="0045259F"/>
    <w:rsid w:val="00453C68"/>
    <w:rsid w:val="004547B3"/>
    <w:rsid w:val="004548EE"/>
    <w:rsid w:val="004550DA"/>
    <w:rsid w:val="00455935"/>
    <w:rsid w:val="00456766"/>
    <w:rsid w:val="00456C9A"/>
    <w:rsid w:val="0045734A"/>
    <w:rsid w:val="00460153"/>
    <w:rsid w:val="00460C54"/>
    <w:rsid w:val="00461114"/>
    <w:rsid w:val="00461774"/>
    <w:rsid w:val="00463DFC"/>
    <w:rsid w:val="00464AF6"/>
    <w:rsid w:val="004658E4"/>
    <w:rsid w:val="004659B1"/>
    <w:rsid w:val="00465C10"/>
    <w:rsid w:val="00465E03"/>
    <w:rsid w:val="00465EDB"/>
    <w:rsid w:val="004707C2"/>
    <w:rsid w:val="00470ACA"/>
    <w:rsid w:val="00471A3B"/>
    <w:rsid w:val="00471AAC"/>
    <w:rsid w:val="00473B54"/>
    <w:rsid w:val="00475F21"/>
    <w:rsid w:val="004763A8"/>
    <w:rsid w:val="00476ED0"/>
    <w:rsid w:val="00476EE3"/>
    <w:rsid w:val="00476EF7"/>
    <w:rsid w:val="0047798A"/>
    <w:rsid w:val="00477B8F"/>
    <w:rsid w:val="00480DAE"/>
    <w:rsid w:val="004821DE"/>
    <w:rsid w:val="004826C5"/>
    <w:rsid w:val="00483253"/>
    <w:rsid w:val="00483A75"/>
    <w:rsid w:val="00483E5F"/>
    <w:rsid w:val="00484620"/>
    <w:rsid w:val="00490BE0"/>
    <w:rsid w:val="00492946"/>
    <w:rsid w:val="00492A71"/>
    <w:rsid w:val="00492B5B"/>
    <w:rsid w:val="0049327F"/>
    <w:rsid w:val="0049330E"/>
    <w:rsid w:val="00494506"/>
    <w:rsid w:val="00494953"/>
    <w:rsid w:val="004950CA"/>
    <w:rsid w:val="004953A5"/>
    <w:rsid w:val="004963F9"/>
    <w:rsid w:val="00496AFD"/>
    <w:rsid w:val="00496C27"/>
    <w:rsid w:val="00496EBF"/>
    <w:rsid w:val="00497069"/>
    <w:rsid w:val="004A05D8"/>
    <w:rsid w:val="004A1B59"/>
    <w:rsid w:val="004A22A8"/>
    <w:rsid w:val="004A3597"/>
    <w:rsid w:val="004A3F3A"/>
    <w:rsid w:val="004A4B91"/>
    <w:rsid w:val="004A4D7D"/>
    <w:rsid w:val="004A5E7E"/>
    <w:rsid w:val="004A655F"/>
    <w:rsid w:val="004A7868"/>
    <w:rsid w:val="004B14FB"/>
    <w:rsid w:val="004B1C1C"/>
    <w:rsid w:val="004B5C2C"/>
    <w:rsid w:val="004B69CB"/>
    <w:rsid w:val="004B6A4A"/>
    <w:rsid w:val="004C02DE"/>
    <w:rsid w:val="004C056E"/>
    <w:rsid w:val="004C1150"/>
    <w:rsid w:val="004C168F"/>
    <w:rsid w:val="004C1CE0"/>
    <w:rsid w:val="004C34D8"/>
    <w:rsid w:val="004C352B"/>
    <w:rsid w:val="004C432D"/>
    <w:rsid w:val="004C457A"/>
    <w:rsid w:val="004C4D8F"/>
    <w:rsid w:val="004C4F13"/>
    <w:rsid w:val="004C5623"/>
    <w:rsid w:val="004C5BE7"/>
    <w:rsid w:val="004C5E6D"/>
    <w:rsid w:val="004C62A0"/>
    <w:rsid w:val="004C6727"/>
    <w:rsid w:val="004C6AFA"/>
    <w:rsid w:val="004C6B08"/>
    <w:rsid w:val="004C6F05"/>
    <w:rsid w:val="004C6F51"/>
    <w:rsid w:val="004C7681"/>
    <w:rsid w:val="004D01C9"/>
    <w:rsid w:val="004D08BA"/>
    <w:rsid w:val="004D1287"/>
    <w:rsid w:val="004D1973"/>
    <w:rsid w:val="004D1FF2"/>
    <w:rsid w:val="004D2147"/>
    <w:rsid w:val="004D26F9"/>
    <w:rsid w:val="004D28CE"/>
    <w:rsid w:val="004D2A2C"/>
    <w:rsid w:val="004D2BBD"/>
    <w:rsid w:val="004D316F"/>
    <w:rsid w:val="004D343B"/>
    <w:rsid w:val="004D3AE8"/>
    <w:rsid w:val="004D4EE5"/>
    <w:rsid w:val="004D6EA7"/>
    <w:rsid w:val="004D73C9"/>
    <w:rsid w:val="004D73FB"/>
    <w:rsid w:val="004D7E02"/>
    <w:rsid w:val="004E00AA"/>
    <w:rsid w:val="004E0D7E"/>
    <w:rsid w:val="004E1557"/>
    <w:rsid w:val="004E19C4"/>
    <w:rsid w:val="004E1CE6"/>
    <w:rsid w:val="004E3138"/>
    <w:rsid w:val="004E342D"/>
    <w:rsid w:val="004E3732"/>
    <w:rsid w:val="004E43EA"/>
    <w:rsid w:val="004E55C8"/>
    <w:rsid w:val="004E5BBA"/>
    <w:rsid w:val="004E5F60"/>
    <w:rsid w:val="004E651C"/>
    <w:rsid w:val="004E675E"/>
    <w:rsid w:val="004E6DBE"/>
    <w:rsid w:val="004E6F5A"/>
    <w:rsid w:val="004E6F80"/>
    <w:rsid w:val="004E7A88"/>
    <w:rsid w:val="004E7AF6"/>
    <w:rsid w:val="004F094C"/>
    <w:rsid w:val="004F1D1A"/>
    <w:rsid w:val="004F21F4"/>
    <w:rsid w:val="004F30DB"/>
    <w:rsid w:val="004F3270"/>
    <w:rsid w:val="004F3CDB"/>
    <w:rsid w:val="004F4175"/>
    <w:rsid w:val="004F5ADA"/>
    <w:rsid w:val="004F6F20"/>
    <w:rsid w:val="004F72D2"/>
    <w:rsid w:val="004F75B4"/>
    <w:rsid w:val="004F7AE3"/>
    <w:rsid w:val="005004E7"/>
    <w:rsid w:val="0050062F"/>
    <w:rsid w:val="00500C2B"/>
    <w:rsid w:val="00501266"/>
    <w:rsid w:val="00501B65"/>
    <w:rsid w:val="00501F4D"/>
    <w:rsid w:val="00502D50"/>
    <w:rsid w:val="005051E4"/>
    <w:rsid w:val="005055F5"/>
    <w:rsid w:val="00506D79"/>
    <w:rsid w:val="00506FD3"/>
    <w:rsid w:val="005071EC"/>
    <w:rsid w:val="0050763C"/>
    <w:rsid w:val="00507AF6"/>
    <w:rsid w:val="0051052D"/>
    <w:rsid w:val="00510BD5"/>
    <w:rsid w:val="00510E36"/>
    <w:rsid w:val="00510EF6"/>
    <w:rsid w:val="0051194C"/>
    <w:rsid w:val="00512014"/>
    <w:rsid w:val="0051276F"/>
    <w:rsid w:val="005137C9"/>
    <w:rsid w:val="005156C7"/>
    <w:rsid w:val="00516066"/>
    <w:rsid w:val="00516111"/>
    <w:rsid w:val="005176B2"/>
    <w:rsid w:val="005176E0"/>
    <w:rsid w:val="0052012C"/>
    <w:rsid w:val="00520766"/>
    <w:rsid w:val="00520CCB"/>
    <w:rsid w:val="00520F92"/>
    <w:rsid w:val="0052152C"/>
    <w:rsid w:val="00521738"/>
    <w:rsid w:val="00523B2D"/>
    <w:rsid w:val="005242D3"/>
    <w:rsid w:val="0052438A"/>
    <w:rsid w:val="005256BA"/>
    <w:rsid w:val="00525C3E"/>
    <w:rsid w:val="00525D19"/>
    <w:rsid w:val="00525D45"/>
    <w:rsid w:val="0052638F"/>
    <w:rsid w:val="00526DD5"/>
    <w:rsid w:val="00526E9B"/>
    <w:rsid w:val="00527A5C"/>
    <w:rsid w:val="00527C32"/>
    <w:rsid w:val="005304DD"/>
    <w:rsid w:val="005310E8"/>
    <w:rsid w:val="005319CD"/>
    <w:rsid w:val="00531AF3"/>
    <w:rsid w:val="00531C44"/>
    <w:rsid w:val="00531E3C"/>
    <w:rsid w:val="00532347"/>
    <w:rsid w:val="0053234C"/>
    <w:rsid w:val="00532A6D"/>
    <w:rsid w:val="0053341B"/>
    <w:rsid w:val="00536A3B"/>
    <w:rsid w:val="00542F20"/>
    <w:rsid w:val="005447D2"/>
    <w:rsid w:val="00544B8B"/>
    <w:rsid w:val="00545C10"/>
    <w:rsid w:val="00545C59"/>
    <w:rsid w:val="0054608E"/>
    <w:rsid w:val="0055044F"/>
    <w:rsid w:val="005504E2"/>
    <w:rsid w:val="005525F7"/>
    <w:rsid w:val="00552659"/>
    <w:rsid w:val="00553EC8"/>
    <w:rsid w:val="0055433F"/>
    <w:rsid w:val="00554FB9"/>
    <w:rsid w:val="0055540B"/>
    <w:rsid w:val="00555A6F"/>
    <w:rsid w:val="00555D55"/>
    <w:rsid w:val="0055692E"/>
    <w:rsid w:val="00560202"/>
    <w:rsid w:val="00560385"/>
    <w:rsid w:val="00560B97"/>
    <w:rsid w:val="00561856"/>
    <w:rsid w:val="00561F75"/>
    <w:rsid w:val="00562D94"/>
    <w:rsid w:val="00562F3A"/>
    <w:rsid w:val="00563527"/>
    <w:rsid w:val="00563A64"/>
    <w:rsid w:val="00563A89"/>
    <w:rsid w:val="0056410A"/>
    <w:rsid w:val="00564244"/>
    <w:rsid w:val="00566E83"/>
    <w:rsid w:val="005679F1"/>
    <w:rsid w:val="00567DE2"/>
    <w:rsid w:val="00567FB8"/>
    <w:rsid w:val="0057035A"/>
    <w:rsid w:val="0057039D"/>
    <w:rsid w:val="005703D0"/>
    <w:rsid w:val="00572C98"/>
    <w:rsid w:val="005731B8"/>
    <w:rsid w:val="00574DAD"/>
    <w:rsid w:val="00574F5E"/>
    <w:rsid w:val="005756B4"/>
    <w:rsid w:val="00575C06"/>
    <w:rsid w:val="00575C0A"/>
    <w:rsid w:val="005760B8"/>
    <w:rsid w:val="005764E9"/>
    <w:rsid w:val="0057781C"/>
    <w:rsid w:val="00580E96"/>
    <w:rsid w:val="005814A7"/>
    <w:rsid w:val="0058167A"/>
    <w:rsid w:val="00582A9F"/>
    <w:rsid w:val="00582E01"/>
    <w:rsid w:val="005839EC"/>
    <w:rsid w:val="005845E4"/>
    <w:rsid w:val="00584FDA"/>
    <w:rsid w:val="005855F3"/>
    <w:rsid w:val="0058562B"/>
    <w:rsid w:val="00586109"/>
    <w:rsid w:val="00587355"/>
    <w:rsid w:val="005875DD"/>
    <w:rsid w:val="00587CD7"/>
    <w:rsid w:val="00590704"/>
    <w:rsid w:val="00590C15"/>
    <w:rsid w:val="005913AA"/>
    <w:rsid w:val="005925E9"/>
    <w:rsid w:val="005946A7"/>
    <w:rsid w:val="00594F24"/>
    <w:rsid w:val="00595458"/>
    <w:rsid w:val="005957BF"/>
    <w:rsid w:val="00595BC8"/>
    <w:rsid w:val="0059627D"/>
    <w:rsid w:val="00596D21"/>
    <w:rsid w:val="00597378"/>
    <w:rsid w:val="005974F6"/>
    <w:rsid w:val="005A03E7"/>
    <w:rsid w:val="005A0B49"/>
    <w:rsid w:val="005A1ACD"/>
    <w:rsid w:val="005A2506"/>
    <w:rsid w:val="005A275F"/>
    <w:rsid w:val="005A2979"/>
    <w:rsid w:val="005A392C"/>
    <w:rsid w:val="005A3A18"/>
    <w:rsid w:val="005A3C53"/>
    <w:rsid w:val="005A3F90"/>
    <w:rsid w:val="005A4DC9"/>
    <w:rsid w:val="005A561C"/>
    <w:rsid w:val="005A69FD"/>
    <w:rsid w:val="005A7011"/>
    <w:rsid w:val="005A70F0"/>
    <w:rsid w:val="005A733F"/>
    <w:rsid w:val="005A7AE1"/>
    <w:rsid w:val="005B201F"/>
    <w:rsid w:val="005B353D"/>
    <w:rsid w:val="005B3A23"/>
    <w:rsid w:val="005B4E31"/>
    <w:rsid w:val="005B56D4"/>
    <w:rsid w:val="005B6B10"/>
    <w:rsid w:val="005B6C6A"/>
    <w:rsid w:val="005B6D39"/>
    <w:rsid w:val="005B7AE6"/>
    <w:rsid w:val="005C34F6"/>
    <w:rsid w:val="005C3683"/>
    <w:rsid w:val="005C4393"/>
    <w:rsid w:val="005C5A8B"/>
    <w:rsid w:val="005C5BA7"/>
    <w:rsid w:val="005C5BD4"/>
    <w:rsid w:val="005C7EE9"/>
    <w:rsid w:val="005D06A9"/>
    <w:rsid w:val="005D1354"/>
    <w:rsid w:val="005D218B"/>
    <w:rsid w:val="005D2509"/>
    <w:rsid w:val="005D25D5"/>
    <w:rsid w:val="005D29F8"/>
    <w:rsid w:val="005D2BED"/>
    <w:rsid w:val="005D31E4"/>
    <w:rsid w:val="005D3540"/>
    <w:rsid w:val="005D35AA"/>
    <w:rsid w:val="005D35F8"/>
    <w:rsid w:val="005D4405"/>
    <w:rsid w:val="005D5232"/>
    <w:rsid w:val="005D5C3B"/>
    <w:rsid w:val="005D6E4B"/>
    <w:rsid w:val="005D7FEA"/>
    <w:rsid w:val="005E1780"/>
    <w:rsid w:val="005E20A0"/>
    <w:rsid w:val="005E2DC6"/>
    <w:rsid w:val="005E323D"/>
    <w:rsid w:val="005E3477"/>
    <w:rsid w:val="005E3B33"/>
    <w:rsid w:val="005E3D3A"/>
    <w:rsid w:val="005E435B"/>
    <w:rsid w:val="005E4791"/>
    <w:rsid w:val="005E4802"/>
    <w:rsid w:val="005E50EF"/>
    <w:rsid w:val="005E6133"/>
    <w:rsid w:val="005E65C9"/>
    <w:rsid w:val="005E6986"/>
    <w:rsid w:val="005E6AAF"/>
    <w:rsid w:val="005F0370"/>
    <w:rsid w:val="005F0C6E"/>
    <w:rsid w:val="005F23EE"/>
    <w:rsid w:val="005F280D"/>
    <w:rsid w:val="005F3171"/>
    <w:rsid w:val="005F366B"/>
    <w:rsid w:val="005F423D"/>
    <w:rsid w:val="005F45F0"/>
    <w:rsid w:val="005F580F"/>
    <w:rsid w:val="005F5813"/>
    <w:rsid w:val="005F6A1D"/>
    <w:rsid w:val="005F7F6E"/>
    <w:rsid w:val="00600FAF"/>
    <w:rsid w:val="006010D5"/>
    <w:rsid w:val="00602263"/>
    <w:rsid w:val="00603EB7"/>
    <w:rsid w:val="00604633"/>
    <w:rsid w:val="006052BB"/>
    <w:rsid w:val="006059A4"/>
    <w:rsid w:val="00606F68"/>
    <w:rsid w:val="006070A0"/>
    <w:rsid w:val="0060772C"/>
    <w:rsid w:val="00607B5D"/>
    <w:rsid w:val="00607F13"/>
    <w:rsid w:val="00610D5A"/>
    <w:rsid w:val="0061168C"/>
    <w:rsid w:val="00611E05"/>
    <w:rsid w:val="00612403"/>
    <w:rsid w:val="00613B36"/>
    <w:rsid w:val="00614245"/>
    <w:rsid w:val="006157B3"/>
    <w:rsid w:val="0061639C"/>
    <w:rsid w:val="00616664"/>
    <w:rsid w:val="00616B77"/>
    <w:rsid w:val="006179B5"/>
    <w:rsid w:val="00620072"/>
    <w:rsid w:val="006201BC"/>
    <w:rsid w:val="0062117F"/>
    <w:rsid w:val="006220E3"/>
    <w:rsid w:val="00623A33"/>
    <w:rsid w:val="00623A93"/>
    <w:rsid w:val="0062464B"/>
    <w:rsid w:val="006246D0"/>
    <w:rsid w:val="00624924"/>
    <w:rsid w:val="00626F2F"/>
    <w:rsid w:val="00627C1F"/>
    <w:rsid w:val="00630610"/>
    <w:rsid w:val="0063114F"/>
    <w:rsid w:val="00631991"/>
    <w:rsid w:val="00631C35"/>
    <w:rsid w:val="00631E07"/>
    <w:rsid w:val="00631EDC"/>
    <w:rsid w:val="00632A10"/>
    <w:rsid w:val="00633BFD"/>
    <w:rsid w:val="006350B0"/>
    <w:rsid w:val="00635510"/>
    <w:rsid w:val="006366C3"/>
    <w:rsid w:val="00636A71"/>
    <w:rsid w:val="00636BB7"/>
    <w:rsid w:val="0063712E"/>
    <w:rsid w:val="00637E15"/>
    <w:rsid w:val="00640959"/>
    <w:rsid w:val="00640AE3"/>
    <w:rsid w:val="00641222"/>
    <w:rsid w:val="00641661"/>
    <w:rsid w:val="0064171C"/>
    <w:rsid w:val="00641DAC"/>
    <w:rsid w:val="006420D9"/>
    <w:rsid w:val="0064265B"/>
    <w:rsid w:val="006445B8"/>
    <w:rsid w:val="00644DA3"/>
    <w:rsid w:val="00645E33"/>
    <w:rsid w:val="0064656E"/>
    <w:rsid w:val="006468B8"/>
    <w:rsid w:val="00647601"/>
    <w:rsid w:val="006524E8"/>
    <w:rsid w:val="006553B2"/>
    <w:rsid w:val="00655AEF"/>
    <w:rsid w:val="006566B6"/>
    <w:rsid w:val="00656D77"/>
    <w:rsid w:val="00660B3F"/>
    <w:rsid w:val="00660E44"/>
    <w:rsid w:val="00661A98"/>
    <w:rsid w:val="006620A3"/>
    <w:rsid w:val="00662131"/>
    <w:rsid w:val="00662A47"/>
    <w:rsid w:val="0066364D"/>
    <w:rsid w:val="00663D3D"/>
    <w:rsid w:val="00664021"/>
    <w:rsid w:val="006658BD"/>
    <w:rsid w:val="00665CA7"/>
    <w:rsid w:val="006661EF"/>
    <w:rsid w:val="00666AD6"/>
    <w:rsid w:val="0066761C"/>
    <w:rsid w:val="0066773E"/>
    <w:rsid w:val="00667A32"/>
    <w:rsid w:val="00670788"/>
    <w:rsid w:val="00670EE8"/>
    <w:rsid w:val="00670F28"/>
    <w:rsid w:val="00671296"/>
    <w:rsid w:val="00671B5C"/>
    <w:rsid w:val="00672D52"/>
    <w:rsid w:val="0067369A"/>
    <w:rsid w:val="006752B6"/>
    <w:rsid w:val="00675B72"/>
    <w:rsid w:val="0067756A"/>
    <w:rsid w:val="00681B8F"/>
    <w:rsid w:val="006820B4"/>
    <w:rsid w:val="00682BFA"/>
    <w:rsid w:val="00683AAC"/>
    <w:rsid w:val="00684016"/>
    <w:rsid w:val="0068597B"/>
    <w:rsid w:val="00685AAB"/>
    <w:rsid w:val="006863B2"/>
    <w:rsid w:val="00687110"/>
    <w:rsid w:val="00687632"/>
    <w:rsid w:val="00687C1E"/>
    <w:rsid w:val="00690544"/>
    <w:rsid w:val="0069116A"/>
    <w:rsid w:val="00691675"/>
    <w:rsid w:val="006922B7"/>
    <w:rsid w:val="006928C0"/>
    <w:rsid w:val="00692C1C"/>
    <w:rsid w:val="00695814"/>
    <w:rsid w:val="00695A4E"/>
    <w:rsid w:val="00695C00"/>
    <w:rsid w:val="00695C0B"/>
    <w:rsid w:val="0069728A"/>
    <w:rsid w:val="006A13BF"/>
    <w:rsid w:val="006A17A9"/>
    <w:rsid w:val="006A1973"/>
    <w:rsid w:val="006A297C"/>
    <w:rsid w:val="006A4908"/>
    <w:rsid w:val="006A5095"/>
    <w:rsid w:val="006A5D1C"/>
    <w:rsid w:val="006A5DEA"/>
    <w:rsid w:val="006A60AF"/>
    <w:rsid w:val="006A6636"/>
    <w:rsid w:val="006A6D1F"/>
    <w:rsid w:val="006A6F5D"/>
    <w:rsid w:val="006A7D44"/>
    <w:rsid w:val="006B079A"/>
    <w:rsid w:val="006B0989"/>
    <w:rsid w:val="006B0C09"/>
    <w:rsid w:val="006B1945"/>
    <w:rsid w:val="006B3152"/>
    <w:rsid w:val="006B3170"/>
    <w:rsid w:val="006B3809"/>
    <w:rsid w:val="006B3C5C"/>
    <w:rsid w:val="006B49FF"/>
    <w:rsid w:val="006B5BF6"/>
    <w:rsid w:val="006B79E3"/>
    <w:rsid w:val="006B7D74"/>
    <w:rsid w:val="006C0933"/>
    <w:rsid w:val="006C0D96"/>
    <w:rsid w:val="006C0F4F"/>
    <w:rsid w:val="006C16E1"/>
    <w:rsid w:val="006C1AE3"/>
    <w:rsid w:val="006C25CC"/>
    <w:rsid w:val="006C299E"/>
    <w:rsid w:val="006C2AA7"/>
    <w:rsid w:val="006C35A6"/>
    <w:rsid w:val="006C4245"/>
    <w:rsid w:val="006C473D"/>
    <w:rsid w:val="006C5081"/>
    <w:rsid w:val="006C61B4"/>
    <w:rsid w:val="006C628B"/>
    <w:rsid w:val="006D07B5"/>
    <w:rsid w:val="006D15C1"/>
    <w:rsid w:val="006D1A87"/>
    <w:rsid w:val="006D3872"/>
    <w:rsid w:val="006D3F3B"/>
    <w:rsid w:val="006D42BF"/>
    <w:rsid w:val="006D4576"/>
    <w:rsid w:val="006D45CE"/>
    <w:rsid w:val="006D52D0"/>
    <w:rsid w:val="006D6037"/>
    <w:rsid w:val="006D6288"/>
    <w:rsid w:val="006D7E1C"/>
    <w:rsid w:val="006E00B6"/>
    <w:rsid w:val="006E06CB"/>
    <w:rsid w:val="006E0E8A"/>
    <w:rsid w:val="006E1F5D"/>
    <w:rsid w:val="006E333E"/>
    <w:rsid w:val="006E3C53"/>
    <w:rsid w:val="006E3E55"/>
    <w:rsid w:val="006E40C7"/>
    <w:rsid w:val="006E4BDF"/>
    <w:rsid w:val="006E4C4B"/>
    <w:rsid w:val="006E52D2"/>
    <w:rsid w:val="006E537E"/>
    <w:rsid w:val="006E701A"/>
    <w:rsid w:val="006F08B3"/>
    <w:rsid w:val="006F1DFE"/>
    <w:rsid w:val="006F1F50"/>
    <w:rsid w:val="006F282A"/>
    <w:rsid w:val="006F2964"/>
    <w:rsid w:val="006F2D44"/>
    <w:rsid w:val="006F3289"/>
    <w:rsid w:val="006F371A"/>
    <w:rsid w:val="006F3C0E"/>
    <w:rsid w:val="006F430D"/>
    <w:rsid w:val="006F46F7"/>
    <w:rsid w:val="006F482A"/>
    <w:rsid w:val="006F4BCA"/>
    <w:rsid w:val="006F57ED"/>
    <w:rsid w:val="006F608E"/>
    <w:rsid w:val="006F65DB"/>
    <w:rsid w:val="006F79E9"/>
    <w:rsid w:val="006F7B73"/>
    <w:rsid w:val="006F7ED5"/>
    <w:rsid w:val="006F7FDA"/>
    <w:rsid w:val="00700885"/>
    <w:rsid w:val="007010AD"/>
    <w:rsid w:val="007017ED"/>
    <w:rsid w:val="00702B4E"/>
    <w:rsid w:val="00702BCE"/>
    <w:rsid w:val="00703A26"/>
    <w:rsid w:val="00703D1D"/>
    <w:rsid w:val="00704279"/>
    <w:rsid w:val="007042E8"/>
    <w:rsid w:val="007056EA"/>
    <w:rsid w:val="00705EA4"/>
    <w:rsid w:val="00705EE7"/>
    <w:rsid w:val="00706054"/>
    <w:rsid w:val="007068B8"/>
    <w:rsid w:val="00707368"/>
    <w:rsid w:val="00707A1F"/>
    <w:rsid w:val="0071061F"/>
    <w:rsid w:val="00710A39"/>
    <w:rsid w:val="00710AAC"/>
    <w:rsid w:val="007122CF"/>
    <w:rsid w:val="00712411"/>
    <w:rsid w:val="0071266A"/>
    <w:rsid w:val="00712ED7"/>
    <w:rsid w:val="00712F20"/>
    <w:rsid w:val="007145BC"/>
    <w:rsid w:val="007152B5"/>
    <w:rsid w:val="00715984"/>
    <w:rsid w:val="00716F93"/>
    <w:rsid w:val="0071729B"/>
    <w:rsid w:val="0072052E"/>
    <w:rsid w:val="007206A5"/>
    <w:rsid w:val="00720BF0"/>
    <w:rsid w:val="00721D0A"/>
    <w:rsid w:val="0072240D"/>
    <w:rsid w:val="00722D4A"/>
    <w:rsid w:val="007231C1"/>
    <w:rsid w:val="007232D2"/>
    <w:rsid w:val="007236FD"/>
    <w:rsid w:val="007245A3"/>
    <w:rsid w:val="00725377"/>
    <w:rsid w:val="00725BC3"/>
    <w:rsid w:val="00726492"/>
    <w:rsid w:val="007277A6"/>
    <w:rsid w:val="00727A48"/>
    <w:rsid w:val="00727CC2"/>
    <w:rsid w:val="007301EA"/>
    <w:rsid w:val="00730F08"/>
    <w:rsid w:val="00731096"/>
    <w:rsid w:val="0073168D"/>
    <w:rsid w:val="007317EC"/>
    <w:rsid w:val="0073237F"/>
    <w:rsid w:val="00732C85"/>
    <w:rsid w:val="007337E4"/>
    <w:rsid w:val="00733C76"/>
    <w:rsid w:val="00734AE3"/>
    <w:rsid w:val="007353B1"/>
    <w:rsid w:val="00735842"/>
    <w:rsid w:val="00735AE0"/>
    <w:rsid w:val="00735FBF"/>
    <w:rsid w:val="00736331"/>
    <w:rsid w:val="007375C4"/>
    <w:rsid w:val="007400E2"/>
    <w:rsid w:val="00740610"/>
    <w:rsid w:val="0074061B"/>
    <w:rsid w:val="00741B0A"/>
    <w:rsid w:val="00742020"/>
    <w:rsid w:val="00743B3E"/>
    <w:rsid w:val="00743EC4"/>
    <w:rsid w:val="00745129"/>
    <w:rsid w:val="00745165"/>
    <w:rsid w:val="00745360"/>
    <w:rsid w:val="00745706"/>
    <w:rsid w:val="00747286"/>
    <w:rsid w:val="00747A5B"/>
    <w:rsid w:val="00747DCF"/>
    <w:rsid w:val="00747E0F"/>
    <w:rsid w:val="00750248"/>
    <w:rsid w:val="00750407"/>
    <w:rsid w:val="00750784"/>
    <w:rsid w:val="0075289E"/>
    <w:rsid w:val="00752D37"/>
    <w:rsid w:val="00755A57"/>
    <w:rsid w:val="00756872"/>
    <w:rsid w:val="00757414"/>
    <w:rsid w:val="00757B11"/>
    <w:rsid w:val="007601DA"/>
    <w:rsid w:val="00760339"/>
    <w:rsid w:val="0076236F"/>
    <w:rsid w:val="00762D0F"/>
    <w:rsid w:val="00762F7A"/>
    <w:rsid w:val="00763249"/>
    <w:rsid w:val="00765447"/>
    <w:rsid w:val="0076558E"/>
    <w:rsid w:val="00765FF3"/>
    <w:rsid w:val="00766024"/>
    <w:rsid w:val="00766FEF"/>
    <w:rsid w:val="00767D6C"/>
    <w:rsid w:val="007702D2"/>
    <w:rsid w:val="00770D1E"/>
    <w:rsid w:val="00771992"/>
    <w:rsid w:val="007719E8"/>
    <w:rsid w:val="00771B6E"/>
    <w:rsid w:val="00772565"/>
    <w:rsid w:val="00772D29"/>
    <w:rsid w:val="00775257"/>
    <w:rsid w:val="007756D9"/>
    <w:rsid w:val="00775C94"/>
    <w:rsid w:val="00776586"/>
    <w:rsid w:val="00780621"/>
    <w:rsid w:val="00780E37"/>
    <w:rsid w:val="00781165"/>
    <w:rsid w:val="00781562"/>
    <w:rsid w:val="007816B9"/>
    <w:rsid w:val="00782C33"/>
    <w:rsid w:val="00783047"/>
    <w:rsid w:val="00783101"/>
    <w:rsid w:val="007858A4"/>
    <w:rsid w:val="00785C77"/>
    <w:rsid w:val="00786A84"/>
    <w:rsid w:val="00786EB7"/>
    <w:rsid w:val="00786ECA"/>
    <w:rsid w:val="007901B1"/>
    <w:rsid w:val="007903CE"/>
    <w:rsid w:val="00791E65"/>
    <w:rsid w:val="0079213D"/>
    <w:rsid w:val="007924E3"/>
    <w:rsid w:val="0079284A"/>
    <w:rsid w:val="007935E7"/>
    <w:rsid w:val="00793C51"/>
    <w:rsid w:val="00793E91"/>
    <w:rsid w:val="00794515"/>
    <w:rsid w:val="007946A2"/>
    <w:rsid w:val="00794B31"/>
    <w:rsid w:val="00795408"/>
    <w:rsid w:val="00796604"/>
    <w:rsid w:val="00796E83"/>
    <w:rsid w:val="00796F63"/>
    <w:rsid w:val="00797873"/>
    <w:rsid w:val="007A021A"/>
    <w:rsid w:val="007A08FB"/>
    <w:rsid w:val="007A1068"/>
    <w:rsid w:val="007A30F4"/>
    <w:rsid w:val="007A38BE"/>
    <w:rsid w:val="007A3CC8"/>
    <w:rsid w:val="007A3D3E"/>
    <w:rsid w:val="007A4089"/>
    <w:rsid w:val="007A4114"/>
    <w:rsid w:val="007A4744"/>
    <w:rsid w:val="007A5169"/>
    <w:rsid w:val="007A5443"/>
    <w:rsid w:val="007A57A9"/>
    <w:rsid w:val="007A71A4"/>
    <w:rsid w:val="007A766D"/>
    <w:rsid w:val="007A7E87"/>
    <w:rsid w:val="007B0D94"/>
    <w:rsid w:val="007B0E42"/>
    <w:rsid w:val="007B0F54"/>
    <w:rsid w:val="007B1221"/>
    <w:rsid w:val="007B22DC"/>
    <w:rsid w:val="007B26C7"/>
    <w:rsid w:val="007B42A9"/>
    <w:rsid w:val="007B5324"/>
    <w:rsid w:val="007B5886"/>
    <w:rsid w:val="007B5B8C"/>
    <w:rsid w:val="007B6B1D"/>
    <w:rsid w:val="007B75A3"/>
    <w:rsid w:val="007C00B5"/>
    <w:rsid w:val="007C0DD9"/>
    <w:rsid w:val="007C0FE8"/>
    <w:rsid w:val="007C11EB"/>
    <w:rsid w:val="007C1DDA"/>
    <w:rsid w:val="007C3F50"/>
    <w:rsid w:val="007C5149"/>
    <w:rsid w:val="007C71A7"/>
    <w:rsid w:val="007D05C6"/>
    <w:rsid w:val="007D077F"/>
    <w:rsid w:val="007D1A36"/>
    <w:rsid w:val="007D1AD8"/>
    <w:rsid w:val="007D2CF8"/>
    <w:rsid w:val="007D2F0F"/>
    <w:rsid w:val="007D3012"/>
    <w:rsid w:val="007D3178"/>
    <w:rsid w:val="007D3DCF"/>
    <w:rsid w:val="007D4724"/>
    <w:rsid w:val="007D4A3B"/>
    <w:rsid w:val="007D6600"/>
    <w:rsid w:val="007D76C0"/>
    <w:rsid w:val="007E1245"/>
    <w:rsid w:val="007E1341"/>
    <w:rsid w:val="007E188A"/>
    <w:rsid w:val="007E3407"/>
    <w:rsid w:val="007E44AE"/>
    <w:rsid w:val="007E462E"/>
    <w:rsid w:val="007E5946"/>
    <w:rsid w:val="007E5D47"/>
    <w:rsid w:val="007E5D9F"/>
    <w:rsid w:val="007E6246"/>
    <w:rsid w:val="007E64E6"/>
    <w:rsid w:val="007E6677"/>
    <w:rsid w:val="007E67E7"/>
    <w:rsid w:val="007E6C1B"/>
    <w:rsid w:val="007F184B"/>
    <w:rsid w:val="007F19CB"/>
    <w:rsid w:val="007F44B7"/>
    <w:rsid w:val="007F45CF"/>
    <w:rsid w:val="007F4800"/>
    <w:rsid w:val="007F4B31"/>
    <w:rsid w:val="007F4C23"/>
    <w:rsid w:val="007F5F4D"/>
    <w:rsid w:val="007F684B"/>
    <w:rsid w:val="007F6B88"/>
    <w:rsid w:val="007F7979"/>
    <w:rsid w:val="008021EE"/>
    <w:rsid w:val="00802566"/>
    <w:rsid w:val="00802712"/>
    <w:rsid w:val="0080369D"/>
    <w:rsid w:val="00804B80"/>
    <w:rsid w:val="008050F8"/>
    <w:rsid w:val="00805C04"/>
    <w:rsid w:val="00805DD8"/>
    <w:rsid w:val="0080635B"/>
    <w:rsid w:val="00807E9F"/>
    <w:rsid w:val="008103C8"/>
    <w:rsid w:val="00810D7D"/>
    <w:rsid w:val="00811D98"/>
    <w:rsid w:val="00812752"/>
    <w:rsid w:val="00812A65"/>
    <w:rsid w:val="00813007"/>
    <w:rsid w:val="0081365C"/>
    <w:rsid w:val="00815831"/>
    <w:rsid w:val="00815AB7"/>
    <w:rsid w:val="00815E9B"/>
    <w:rsid w:val="00815FC6"/>
    <w:rsid w:val="0081670B"/>
    <w:rsid w:val="00816F5B"/>
    <w:rsid w:val="008204E3"/>
    <w:rsid w:val="008209DD"/>
    <w:rsid w:val="00820E56"/>
    <w:rsid w:val="00820E8D"/>
    <w:rsid w:val="008215D4"/>
    <w:rsid w:val="00821A79"/>
    <w:rsid w:val="00821D89"/>
    <w:rsid w:val="00822307"/>
    <w:rsid w:val="00822336"/>
    <w:rsid w:val="00822E36"/>
    <w:rsid w:val="0082311A"/>
    <w:rsid w:val="008235A8"/>
    <w:rsid w:val="00823A34"/>
    <w:rsid w:val="008245D6"/>
    <w:rsid w:val="00826D54"/>
    <w:rsid w:val="00826E73"/>
    <w:rsid w:val="00830949"/>
    <w:rsid w:val="00831452"/>
    <w:rsid w:val="008321AC"/>
    <w:rsid w:val="008324E9"/>
    <w:rsid w:val="00832D8E"/>
    <w:rsid w:val="00833B7C"/>
    <w:rsid w:val="00834269"/>
    <w:rsid w:val="00834334"/>
    <w:rsid w:val="00834F6A"/>
    <w:rsid w:val="00835E77"/>
    <w:rsid w:val="00835F39"/>
    <w:rsid w:val="00840009"/>
    <w:rsid w:val="0084064D"/>
    <w:rsid w:val="008407DA"/>
    <w:rsid w:val="00841AAC"/>
    <w:rsid w:val="0084270D"/>
    <w:rsid w:val="008433CF"/>
    <w:rsid w:val="008439FF"/>
    <w:rsid w:val="00843D6F"/>
    <w:rsid w:val="00844054"/>
    <w:rsid w:val="00844AF4"/>
    <w:rsid w:val="0084560F"/>
    <w:rsid w:val="0084577F"/>
    <w:rsid w:val="00845A2A"/>
    <w:rsid w:val="00846311"/>
    <w:rsid w:val="00846590"/>
    <w:rsid w:val="0084691F"/>
    <w:rsid w:val="00847C7F"/>
    <w:rsid w:val="00847E9F"/>
    <w:rsid w:val="0085029D"/>
    <w:rsid w:val="00850451"/>
    <w:rsid w:val="00850493"/>
    <w:rsid w:val="008504A5"/>
    <w:rsid w:val="008520AA"/>
    <w:rsid w:val="00852936"/>
    <w:rsid w:val="00853225"/>
    <w:rsid w:val="008536A6"/>
    <w:rsid w:val="00853846"/>
    <w:rsid w:val="008538DA"/>
    <w:rsid w:val="00853FCF"/>
    <w:rsid w:val="008549CA"/>
    <w:rsid w:val="00855118"/>
    <w:rsid w:val="00856778"/>
    <w:rsid w:val="00857152"/>
    <w:rsid w:val="00857D1F"/>
    <w:rsid w:val="00860811"/>
    <w:rsid w:val="0086090E"/>
    <w:rsid w:val="00860A6B"/>
    <w:rsid w:val="0086136A"/>
    <w:rsid w:val="00861633"/>
    <w:rsid w:val="00863C62"/>
    <w:rsid w:val="00864C5A"/>
    <w:rsid w:val="0086696B"/>
    <w:rsid w:val="00866AEB"/>
    <w:rsid w:val="0086772A"/>
    <w:rsid w:val="00870187"/>
    <w:rsid w:val="00870867"/>
    <w:rsid w:val="00870A9E"/>
    <w:rsid w:val="008710CA"/>
    <w:rsid w:val="00872388"/>
    <w:rsid w:val="0087274D"/>
    <w:rsid w:val="00872FF2"/>
    <w:rsid w:val="00874B64"/>
    <w:rsid w:val="00874C31"/>
    <w:rsid w:val="0087504D"/>
    <w:rsid w:val="008754FC"/>
    <w:rsid w:val="0087575A"/>
    <w:rsid w:val="008779A3"/>
    <w:rsid w:val="0088063E"/>
    <w:rsid w:val="00880D74"/>
    <w:rsid w:val="008814E5"/>
    <w:rsid w:val="0088320D"/>
    <w:rsid w:val="00883F15"/>
    <w:rsid w:val="00883F58"/>
    <w:rsid w:val="0088432D"/>
    <w:rsid w:val="00884B54"/>
    <w:rsid w:val="0088556B"/>
    <w:rsid w:val="0088580E"/>
    <w:rsid w:val="008866CF"/>
    <w:rsid w:val="00886730"/>
    <w:rsid w:val="00886771"/>
    <w:rsid w:val="00887295"/>
    <w:rsid w:val="00887EC5"/>
    <w:rsid w:val="00892AD8"/>
    <w:rsid w:val="00894647"/>
    <w:rsid w:val="008966BD"/>
    <w:rsid w:val="008969F6"/>
    <w:rsid w:val="00896AE3"/>
    <w:rsid w:val="00896BC5"/>
    <w:rsid w:val="00896C28"/>
    <w:rsid w:val="00896F2B"/>
    <w:rsid w:val="00897C19"/>
    <w:rsid w:val="008A049B"/>
    <w:rsid w:val="008A1B17"/>
    <w:rsid w:val="008A2C82"/>
    <w:rsid w:val="008A2CA5"/>
    <w:rsid w:val="008A30B9"/>
    <w:rsid w:val="008A3120"/>
    <w:rsid w:val="008A5D5A"/>
    <w:rsid w:val="008A64DD"/>
    <w:rsid w:val="008A7B51"/>
    <w:rsid w:val="008A7D9A"/>
    <w:rsid w:val="008B0083"/>
    <w:rsid w:val="008B038C"/>
    <w:rsid w:val="008B153F"/>
    <w:rsid w:val="008B167D"/>
    <w:rsid w:val="008B39EB"/>
    <w:rsid w:val="008B3EE5"/>
    <w:rsid w:val="008B3F79"/>
    <w:rsid w:val="008B42A1"/>
    <w:rsid w:val="008B4640"/>
    <w:rsid w:val="008B4FA8"/>
    <w:rsid w:val="008B6622"/>
    <w:rsid w:val="008B67F9"/>
    <w:rsid w:val="008B691B"/>
    <w:rsid w:val="008B6C6C"/>
    <w:rsid w:val="008B6F62"/>
    <w:rsid w:val="008B7E5A"/>
    <w:rsid w:val="008C0432"/>
    <w:rsid w:val="008C0708"/>
    <w:rsid w:val="008C0C28"/>
    <w:rsid w:val="008C1195"/>
    <w:rsid w:val="008C11D3"/>
    <w:rsid w:val="008C1433"/>
    <w:rsid w:val="008C24E9"/>
    <w:rsid w:val="008C2B6A"/>
    <w:rsid w:val="008C4879"/>
    <w:rsid w:val="008C55F0"/>
    <w:rsid w:val="008C720E"/>
    <w:rsid w:val="008C7A42"/>
    <w:rsid w:val="008C7A9A"/>
    <w:rsid w:val="008C7D78"/>
    <w:rsid w:val="008D0B36"/>
    <w:rsid w:val="008D2BCF"/>
    <w:rsid w:val="008D2E5E"/>
    <w:rsid w:val="008D3165"/>
    <w:rsid w:val="008D41FB"/>
    <w:rsid w:val="008D47F7"/>
    <w:rsid w:val="008D5BFB"/>
    <w:rsid w:val="008D702F"/>
    <w:rsid w:val="008D7D64"/>
    <w:rsid w:val="008E07C1"/>
    <w:rsid w:val="008E1526"/>
    <w:rsid w:val="008E17F9"/>
    <w:rsid w:val="008E22BC"/>
    <w:rsid w:val="008E2785"/>
    <w:rsid w:val="008E27AC"/>
    <w:rsid w:val="008E32C1"/>
    <w:rsid w:val="008E3728"/>
    <w:rsid w:val="008E390F"/>
    <w:rsid w:val="008E450E"/>
    <w:rsid w:val="008E48A5"/>
    <w:rsid w:val="008E5258"/>
    <w:rsid w:val="008E52E6"/>
    <w:rsid w:val="008E694D"/>
    <w:rsid w:val="008E6A8F"/>
    <w:rsid w:val="008E72AB"/>
    <w:rsid w:val="008E7361"/>
    <w:rsid w:val="008E7734"/>
    <w:rsid w:val="008E7D18"/>
    <w:rsid w:val="008F08DD"/>
    <w:rsid w:val="008F0B69"/>
    <w:rsid w:val="008F3037"/>
    <w:rsid w:val="008F4FCE"/>
    <w:rsid w:val="008F6FD3"/>
    <w:rsid w:val="008F7749"/>
    <w:rsid w:val="0090050F"/>
    <w:rsid w:val="00900956"/>
    <w:rsid w:val="0090188A"/>
    <w:rsid w:val="00901CA5"/>
    <w:rsid w:val="00904DEB"/>
    <w:rsid w:val="00906388"/>
    <w:rsid w:val="009065B8"/>
    <w:rsid w:val="00906C28"/>
    <w:rsid w:val="009072D8"/>
    <w:rsid w:val="00907B1A"/>
    <w:rsid w:val="00910A52"/>
    <w:rsid w:val="00910AB8"/>
    <w:rsid w:val="00911C3D"/>
    <w:rsid w:val="00911E67"/>
    <w:rsid w:val="00912151"/>
    <w:rsid w:val="009135BF"/>
    <w:rsid w:val="009148CB"/>
    <w:rsid w:val="00914918"/>
    <w:rsid w:val="00914FAF"/>
    <w:rsid w:val="00915379"/>
    <w:rsid w:val="00915FB1"/>
    <w:rsid w:val="009164CD"/>
    <w:rsid w:val="00916C5D"/>
    <w:rsid w:val="00917FFA"/>
    <w:rsid w:val="009202C4"/>
    <w:rsid w:val="0092060E"/>
    <w:rsid w:val="00920997"/>
    <w:rsid w:val="009222A0"/>
    <w:rsid w:val="00923947"/>
    <w:rsid w:val="00923A2D"/>
    <w:rsid w:val="00924BA1"/>
    <w:rsid w:val="00924F4F"/>
    <w:rsid w:val="0092585A"/>
    <w:rsid w:val="009263B9"/>
    <w:rsid w:val="00926430"/>
    <w:rsid w:val="0092785C"/>
    <w:rsid w:val="00927B0D"/>
    <w:rsid w:val="009312AE"/>
    <w:rsid w:val="009313B5"/>
    <w:rsid w:val="009314FD"/>
    <w:rsid w:val="00931AEB"/>
    <w:rsid w:val="00931E67"/>
    <w:rsid w:val="00932665"/>
    <w:rsid w:val="0093305E"/>
    <w:rsid w:val="00933D40"/>
    <w:rsid w:val="00934615"/>
    <w:rsid w:val="009350E2"/>
    <w:rsid w:val="009352DA"/>
    <w:rsid w:val="00935727"/>
    <w:rsid w:val="0093685C"/>
    <w:rsid w:val="00937FA9"/>
    <w:rsid w:val="009406B3"/>
    <w:rsid w:val="00940967"/>
    <w:rsid w:val="009410F9"/>
    <w:rsid w:val="00941AB0"/>
    <w:rsid w:val="009420C5"/>
    <w:rsid w:val="009421E3"/>
    <w:rsid w:val="009424EE"/>
    <w:rsid w:val="00943345"/>
    <w:rsid w:val="00943633"/>
    <w:rsid w:val="00943B15"/>
    <w:rsid w:val="00943F55"/>
    <w:rsid w:val="009441E5"/>
    <w:rsid w:val="0094426E"/>
    <w:rsid w:val="0094607F"/>
    <w:rsid w:val="009462D1"/>
    <w:rsid w:val="00950450"/>
    <w:rsid w:val="009508E4"/>
    <w:rsid w:val="0095117E"/>
    <w:rsid w:val="009516FE"/>
    <w:rsid w:val="009518C9"/>
    <w:rsid w:val="009526A8"/>
    <w:rsid w:val="0095331E"/>
    <w:rsid w:val="009534FB"/>
    <w:rsid w:val="00953846"/>
    <w:rsid w:val="00953A61"/>
    <w:rsid w:val="00954083"/>
    <w:rsid w:val="00955202"/>
    <w:rsid w:val="00955566"/>
    <w:rsid w:val="00956176"/>
    <w:rsid w:val="00956B6B"/>
    <w:rsid w:val="00956E6E"/>
    <w:rsid w:val="009573EF"/>
    <w:rsid w:val="00957832"/>
    <w:rsid w:val="00957ED4"/>
    <w:rsid w:val="00957FF8"/>
    <w:rsid w:val="009601AA"/>
    <w:rsid w:val="0096068D"/>
    <w:rsid w:val="00962703"/>
    <w:rsid w:val="009627BE"/>
    <w:rsid w:val="00962F48"/>
    <w:rsid w:val="00964DEC"/>
    <w:rsid w:val="00965932"/>
    <w:rsid w:val="0096602B"/>
    <w:rsid w:val="00966FFC"/>
    <w:rsid w:val="009679A8"/>
    <w:rsid w:val="00967E21"/>
    <w:rsid w:val="00970C34"/>
    <w:rsid w:val="00973DDB"/>
    <w:rsid w:val="0098151F"/>
    <w:rsid w:val="009817F1"/>
    <w:rsid w:val="009818BD"/>
    <w:rsid w:val="0098265E"/>
    <w:rsid w:val="009833F2"/>
    <w:rsid w:val="009840ED"/>
    <w:rsid w:val="009847E1"/>
    <w:rsid w:val="00984C8F"/>
    <w:rsid w:val="009851E3"/>
    <w:rsid w:val="00985D71"/>
    <w:rsid w:val="009864DC"/>
    <w:rsid w:val="00986689"/>
    <w:rsid w:val="00986D7D"/>
    <w:rsid w:val="00987DD9"/>
    <w:rsid w:val="0099090E"/>
    <w:rsid w:val="00991016"/>
    <w:rsid w:val="00991981"/>
    <w:rsid w:val="00992B4F"/>
    <w:rsid w:val="00993144"/>
    <w:rsid w:val="009943D3"/>
    <w:rsid w:val="00994717"/>
    <w:rsid w:val="00994E40"/>
    <w:rsid w:val="009956B3"/>
    <w:rsid w:val="00995AF3"/>
    <w:rsid w:val="00996591"/>
    <w:rsid w:val="0099705A"/>
    <w:rsid w:val="00997BDB"/>
    <w:rsid w:val="009A0A26"/>
    <w:rsid w:val="009A2049"/>
    <w:rsid w:val="009A2268"/>
    <w:rsid w:val="009A2DBE"/>
    <w:rsid w:val="009A2FC3"/>
    <w:rsid w:val="009A36CF"/>
    <w:rsid w:val="009A36EB"/>
    <w:rsid w:val="009A4697"/>
    <w:rsid w:val="009A4C6F"/>
    <w:rsid w:val="009A5544"/>
    <w:rsid w:val="009A58E5"/>
    <w:rsid w:val="009A6CF5"/>
    <w:rsid w:val="009A79BB"/>
    <w:rsid w:val="009A7F06"/>
    <w:rsid w:val="009B0454"/>
    <w:rsid w:val="009B09C4"/>
    <w:rsid w:val="009B1F32"/>
    <w:rsid w:val="009B26D3"/>
    <w:rsid w:val="009B46ED"/>
    <w:rsid w:val="009B511C"/>
    <w:rsid w:val="009B5EB0"/>
    <w:rsid w:val="009B6A16"/>
    <w:rsid w:val="009B7972"/>
    <w:rsid w:val="009B7DC6"/>
    <w:rsid w:val="009C0325"/>
    <w:rsid w:val="009C121D"/>
    <w:rsid w:val="009C152D"/>
    <w:rsid w:val="009C1B4E"/>
    <w:rsid w:val="009C230E"/>
    <w:rsid w:val="009C3696"/>
    <w:rsid w:val="009C3FCB"/>
    <w:rsid w:val="009C4ACD"/>
    <w:rsid w:val="009C53ED"/>
    <w:rsid w:val="009C6782"/>
    <w:rsid w:val="009C7D4E"/>
    <w:rsid w:val="009C7F1B"/>
    <w:rsid w:val="009D0482"/>
    <w:rsid w:val="009D0639"/>
    <w:rsid w:val="009D09C8"/>
    <w:rsid w:val="009D103F"/>
    <w:rsid w:val="009D258E"/>
    <w:rsid w:val="009D33F5"/>
    <w:rsid w:val="009D530C"/>
    <w:rsid w:val="009D5D9F"/>
    <w:rsid w:val="009D6B4C"/>
    <w:rsid w:val="009D7A5E"/>
    <w:rsid w:val="009E03B7"/>
    <w:rsid w:val="009E0C40"/>
    <w:rsid w:val="009E12A9"/>
    <w:rsid w:val="009E1877"/>
    <w:rsid w:val="009E386F"/>
    <w:rsid w:val="009E402E"/>
    <w:rsid w:val="009E4B73"/>
    <w:rsid w:val="009E4F0B"/>
    <w:rsid w:val="009E6147"/>
    <w:rsid w:val="009E67A5"/>
    <w:rsid w:val="009E70FD"/>
    <w:rsid w:val="009E72AC"/>
    <w:rsid w:val="009E7394"/>
    <w:rsid w:val="009F05D8"/>
    <w:rsid w:val="009F0EAF"/>
    <w:rsid w:val="009F17AC"/>
    <w:rsid w:val="009F1C1D"/>
    <w:rsid w:val="009F21D8"/>
    <w:rsid w:val="009F2A2C"/>
    <w:rsid w:val="009F43C8"/>
    <w:rsid w:val="009F447A"/>
    <w:rsid w:val="009F4616"/>
    <w:rsid w:val="009F4CA5"/>
    <w:rsid w:val="009F5982"/>
    <w:rsid w:val="009F7546"/>
    <w:rsid w:val="009F7808"/>
    <w:rsid w:val="009F78F3"/>
    <w:rsid w:val="00A00718"/>
    <w:rsid w:val="00A01281"/>
    <w:rsid w:val="00A01FD2"/>
    <w:rsid w:val="00A03516"/>
    <w:rsid w:val="00A03D7F"/>
    <w:rsid w:val="00A04D3B"/>
    <w:rsid w:val="00A057FA"/>
    <w:rsid w:val="00A0660F"/>
    <w:rsid w:val="00A06705"/>
    <w:rsid w:val="00A074A9"/>
    <w:rsid w:val="00A10F83"/>
    <w:rsid w:val="00A11F38"/>
    <w:rsid w:val="00A13845"/>
    <w:rsid w:val="00A13B9C"/>
    <w:rsid w:val="00A13C2D"/>
    <w:rsid w:val="00A13F55"/>
    <w:rsid w:val="00A15077"/>
    <w:rsid w:val="00A1715F"/>
    <w:rsid w:val="00A179A5"/>
    <w:rsid w:val="00A2005C"/>
    <w:rsid w:val="00A20634"/>
    <w:rsid w:val="00A21262"/>
    <w:rsid w:val="00A22B13"/>
    <w:rsid w:val="00A22C34"/>
    <w:rsid w:val="00A23BDE"/>
    <w:rsid w:val="00A2475C"/>
    <w:rsid w:val="00A265DC"/>
    <w:rsid w:val="00A2714F"/>
    <w:rsid w:val="00A274C9"/>
    <w:rsid w:val="00A279AF"/>
    <w:rsid w:val="00A30243"/>
    <w:rsid w:val="00A31640"/>
    <w:rsid w:val="00A31C48"/>
    <w:rsid w:val="00A32F65"/>
    <w:rsid w:val="00A335AD"/>
    <w:rsid w:val="00A33790"/>
    <w:rsid w:val="00A33A86"/>
    <w:rsid w:val="00A34A71"/>
    <w:rsid w:val="00A34AE0"/>
    <w:rsid w:val="00A35195"/>
    <w:rsid w:val="00A36776"/>
    <w:rsid w:val="00A40DBF"/>
    <w:rsid w:val="00A413D5"/>
    <w:rsid w:val="00A42B3E"/>
    <w:rsid w:val="00A432C0"/>
    <w:rsid w:val="00A43433"/>
    <w:rsid w:val="00A43AB1"/>
    <w:rsid w:val="00A43D90"/>
    <w:rsid w:val="00A444F4"/>
    <w:rsid w:val="00A44953"/>
    <w:rsid w:val="00A44A8F"/>
    <w:rsid w:val="00A44F56"/>
    <w:rsid w:val="00A457AA"/>
    <w:rsid w:val="00A46099"/>
    <w:rsid w:val="00A4628F"/>
    <w:rsid w:val="00A46A21"/>
    <w:rsid w:val="00A51A4F"/>
    <w:rsid w:val="00A51CE1"/>
    <w:rsid w:val="00A52069"/>
    <w:rsid w:val="00A520DE"/>
    <w:rsid w:val="00A52949"/>
    <w:rsid w:val="00A533BF"/>
    <w:rsid w:val="00A54D7A"/>
    <w:rsid w:val="00A556FD"/>
    <w:rsid w:val="00A56F7C"/>
    <w:rsid w:val="00A575ED"/>
    <w:rsid w:val="00A608E5"/>
    <w:rsid w:val="00A61229"/>
    <w:rsid w:val="00A6201B"/>
    <w:rsid w:val="00A620E2"/>
    <w:rsid w:val="00A62E1D"/>
    <w:rsid w:val="00A64355"/>
    <w:rsid w:val="00A65799"/>
    <w:rsid w:val="00A65CB8"/>
    <w:rsid w:val="00A66974"/>
    <w:rsid w:val="00A66A60"/>
    <w:rsid w:val="00A7087E"/>
    <w:rsid w:val="00A708B0"/>
    <w:rsid w:val="00A708C0"/>
    <w:rsid w:val="00A70BA6"/>
    <w:rsid w:val="00A70DC9"/>
    <w:rsid w:val="00A717BB"/>
    <w:rsid w:val="00A729DB"/>
    <w:rsid w:val="00A73548"/>
    <w:rsid w:val="00A7462C"/>
    <w:rsid w:val="00A74FA9"/>
    <w:rsid w:val="00A750A1"/>
    <w:rsid w:val="00A7635A"/>
    <w:rsid w:val="00A773BB"/>
    <w:rsid w:val="00A77690"/>
    <w:rsid w:val="00A77852"/>
    <w:rsid w:val="00A77DF9"/>
    <w:rsid w:val="00A80449"/>
    <w:rsid w:val="00A80473"/>
    <w:rsid w:val="00A81635"/>
    <w:rsid w:val="00A825FD"/>
    <w:rsid w:val="00A8263F"/>
    <w:rsid w:val="00A8288D"/>
    <w:rsid w:val="00A83E58"/>
    <w:rsid w:val="00A852FE"/>
    <w:rsid w:val="00A856C6"/>
    <w:rsid w:val="00A86C4D"/>
    <w:rsid w:val="00A90077"/>
    <w:rsid w:val="00A9011C"/>
    <w:rsid w:val="00A90A9A"/>
    <w:rsid w:val="00A90C3B"/>
    <w:rsid w:val="00A914B8"/>
    <w:rsid w:val="00A91D30"/>
    <w:rsid w:val="00A91D9A"/>
    <w:rsid w:val="00A92DAD"/>
    <w:rsid w:val="00A9330D"/>
    <w:rsid w:val="00A9402D"/>
    <w:rsid w:val="00A94290"/>
    <w:rsid w:val="00A94391"/>
    <w:rsid w:val="00A94E58"/>
    <w:rsid w:val="00A9508D"/>
    <w:rsid w:val="00A95D82"/>
    <w:rsid w:val="00A965BE"/>
    <w:rsid w:val="00A96F6C"/>
    <w:rsid w:val="00AA0864"/>
    <w:rsid w:val="00AA16E4"/>
    <w:rsid w:val="00AA1791"/>
    <w:rsid w:val="00AA1A6F"/>
    <w:rsid w:val="00AA245E"/>
    <w:rsid w:val="00AA2680"/>
    <w:rsid w:val="00AA56A7"/>
    <w:rsid w:val="00AA56BC"/>
    <w:rsid w:val="00AA6B07"/>
    <w:rsid w:val="00AA7376"/>
    <w:rsid w:val="00AB0485"/>
    <w:rsid w:val="00AB0C2C"/>
    <w:rsid w:val="00AB10B2"/>
    <w:rsid w:val="00AB1334"/>
    <w:rsid w:val="00AB24E7"/>
    <w:rsid w:val="00AB2B4B"/>
    <w:rsid w:val="00AB2B8F"/>
    <w:rsid w:val="00AB3250"/>
    <w:rsid w:val="00AB3D4D"/>
    <w:rsid w:val="00AB3DB2"/>
    <w:rsid w:val="00AB4318"/>
    <w:rsid w:val="00AB4AA0"/>
    <w:rsid w:val="00AB4EE1"/>
    <w:rsid w:val="00AB5665"/>
    <w:rsid w:val="00AB6435"/>
    <w:rsid w:val="00AB7ABB"/>
    <w:rsid w:val="00AC07CF"/>
    <w:rsid w:val="00AC0C68"/>
    <w:rsid w:val="00AC0E6C"/>
    <w:rsid w:val="00AC1058"/>
    <w:rsid w:val="00AC1379"/>
    <w:rsid w:val="00AC1A5B"/>
    <w:rsid w:val="00AC246A"/>
    <w:rsid w:val="00AC24E0"/>
    <w:rsid w:val="00AC2763"/>
    <w:rsid w:val="00AC31B5"/>
    <w:rsid w:val="00AC36FF"/>
    <w:rsid w:val="00AC3C83"/>
    <w:rsid w:val="00AC40E7"/>
    <w:rsid w:val="00AC4F57"/>
    <w:rsid w:val="00AC525D"/>
    <w:rsid w:val="00AC5613"/>
    <w:rsid w:val="00AC6175"/>
    <w:rsid w:val="00AC6B78"/>
    <w:rsid w:val="00AC6EAB"/>
    <w:rsid w:val="00AD043C"/>
    <w:rsid w:val="00AD0463"/>
    <w:rsid w:val="00AD156B"/>
    <w:rsid w:val="00AD22BB"/>
    <w:rsid w:val="00AD2DA3"/>
    <w:rsid w:val="00AD3A88"/>
    <w:rsid w:val="00AD46ED"/>
    <w:rsid w:val="00AD4751"/>
    <w:rsid w:val="00AD4B09"/>
    <w:rsid w:val="00AD4F9D"/>
    <w:rsid w:val="00AD53EC"/>
    <w:rsid w:val="00AD54B6"/>
    <w:rsid w:val="00AD5509"/>
    <w:rsid w:val="00AD5D4D"/>
    <w:rsid w:val="00AD6BA2"/>
    <w:rsid w:val="00AD71CD"/>
    <w:rsid w:val="00AE130B"/>
    <w:rsid w:val="00AE2C6B"/>
    <w:rsid w:val="00AE367B"/>
    <w:rsid w:val="00AE37BC"/>
    <w:rsid w:val="00AE4185"/>
    <w:rsid w:val="00AE4E3D"/>
    <w:rsid w:val="00AE56A3"/>
    <w:rsid w:val="00AE60E7"/>
    <w:rsid w:val="00AE6DF3"/>
    <w:rsid w:val="00AE7005"/>
    <w:rsid w:val="00AE71EA"/>
    <w:rsid w:val="00AE7C7D"/>
    <w:rsid w:val="00AE7EFF"/>
    <w:rsid w:val="00AF01C3"/>
    <w:rsid w:val="00AF0FF2"/>
    <w:rsid w:val="00AF1346"/>
    <w:rsid w:val="00AF1DEE"/>
    <w:rsid w:val="00AF257D"/>
    <w:rsid w:val="00AF32BA"/>
    <w:rsid w:val="00AF45CA"/>
    <w:rsid w:val="00AF4B27"/>
    <w:rsid w:val="00AF583A"/>
    <w:rsid w:val="00AF5AEE"/>
    <w:rsid w:val="00AF6ADD"/>
    <w:rsid w:val="00B0118D"/>
    <w:rsid w:val="00B01763"/>
    <w:rsid w:val="00B02EFA"/>
    <w:rsid w:val="00B03360"/>
    <w:rsid w:val="00B03DCB"/>
    <w:rsid w:val="00B03FC2"/>
    <w:rsid w:val="00B05646"/>
    <w:rsid w:val="00B05845"/>
    <w:rsid w:val="00B05B04"/>
    <w:rsid w:val="00B05CC4"/>
    <w:rsid w:val="00B06FF7"/>
    <w:rsid w:val="00B07943"/>
    <w:rsid w:val="00B07C7C"/>
    <w:rsid w:val="00B109FE"/>
    <w:rsid w:val="00B10C24"/>
    <w:rsid w:val="00B11490"/>
    <w:rsid w:val="00B11AAC"/>
    <w:rsid w:val="00B127BC"/>
    <w:rsid w:val="00B133B5"/>
    <w:rsid w:val="00B13C7F"/>
    <w:rsid w:val="00B14B03"/>
    <w:rsid w:val="00B14D57"/>
    <w:rsid w:val="00B15999"/>
    <w:rsid w:val="00B16727"/>
    <w:rsid w:val="00B16D59"/>
    <w:rsid w:val="00B175A0"/>
    <w:rsid w:val="00B20566"/>
    <w:rsid w:val="00B210ED"/>
    <w:rsid w:val="00B216A7"/>
    <w:rsid w:val="00B2180E"/>
    <w:rsid w:val="00B21CD5"/>
    <w:rsid w:val="00B21CE6"/>
    <w:rsid w:val="00B228B8"/>
    <w:rsid w:val="00B22E5F"/>
    <w:rsid w:val="00B24289"/>
    <w:rsid w:val="00B248DE"/>
    <w:rsid w:val="00B2523B"/>
    <w:rsid w:val="00B25A31"/>
    <w:rsid w:val="00B25CAB"/>
    <w:rsid w:val="00B2703E"/>
    <w:rsid w:val="00B277BD"/>
    <w:rsid w:val="00B27979"/>
    <w:rsid w:val="00B30969"/>
    <w:rsid w:val="00B30F62"/>
    <w:rsid w:val="00B31697"/>
    <w:rsid w:val="00B31AB1"/>
    <w:rsid w:val="00B325B5"/>
    <w:rsid w:val="00B334AF"/>
    <w:rsid w:val="00B3449C"/>
    <w:rsid w:val="00B34B2F"/>
    <w:rsid w:val="00B351D9"/>
    <w:rsid w:val="00B36AFE"/>
    <w:rsid w:val="00B3739D"/>
    <w:rsid w:val="00B41895"/>
    <w:rsid w:val="00B41BA9"/>
    <w:rsid w:val="00B4208D"/>
    <w:rsid w:val="00B42DB9"/>
    <w:rsid w:val="00B42E78"/>
    <w:rsid w:val="00B4308E"/>
    <w:rsid w:val="00B43172"/>
    <w:rsid w:val="00B4367E"/>
    <w:rsid w:val="00B43F9B"/>
    <w:rsid w:val="00B445BD"/>
    <w:rsid w:val="00B44D74"/>
    <w:rsid w:val="00B46097"/>
    <w:rsid w:val="00B46AFB"/>
    <w:rsid w:val="00B46B1D"/>
    <w:rsid w:val="00B46EDA"/>
    <w:rsid w:val="00B4715F"/>
    <w:rsid w:val="00B501FD"/>
    <w:rsid w:val="00B513DA"/>
    <w:rsid w:val="00B51551"/>
    <w:rsid w:val="00B51931"/>
    <w:rsid w:val="00B51E7C"/>
    <w:rsid w:val="00B528A0"/>
    <w:rsid w:val="00B52C17"/>
    <w:rsid w:val="00B53E10"/>
    <w:rsid w:val="00B54161"/>
    <w:rsid w:val="00B57406"/>
    <w:rsid w:val="00B60C8C"/>
    <w:rsid w:val="00B60F77"/>
    <w:rsid w:val="00B612C1"/>
    <w:rsid w:val="00B622A4"/>
    <w:rsid w:val="00B62A8E"/>
    <w:rsid w:val="00B63380"/>
    <w:rsid w:val="00B63D0A"/>
    <w:rsid w:val="00B64C0E"/>
    <w:rsid w:val="00B66748"/>
    <w:rsid w:val="00B66C60"/>
    <w:rsid w:val="00B67249"/>
    <w:rsid w:val="00B675AE"/>
    <w:rsid w:val="00B67B93"/>
    <w:rsid w:val="00B67C44"/>
    <w:rsid w:val="00B708A9"/>
    <w:rsid w:val="00B70BC2"/>
    <w:rsid w:val="00B713AE"/>
    <w:rsid w:val="00B713B1"/>
    <w:rsid w:val="00B714D3"/>
    <w:rsid w:val="00B7167A"/>
    <w:rsid w:val="00B71969"/>
    <w:rsid w:val="00B71AAE"/>
    <w:rsid w:val="00B71F26"/>
    <w:rsid w:val="00B73606"/>
    <w:rsid w:val="00B73F94"/>
    <w:rsid w:val="00B74DAB"/>
    <w:rsid w:val="00B759BE"/>
    <w:rsid w:val="00B75B36"/>
    <w:rsid w:val="00B76937"/>
    <w:rsid w:val="00B76D7F"/>
    <w:rsid w:val="00B7720F"/>
    <w:rsid w:val="00B77920"/>
    <w:rsid w:val="00B77E26"/>
    <w:rsid w:val="00B804CA"/>
    <w:rsid w:val="00B812D3"/>
    <w:rsid w:val="00B81596"/>
    <w:rsid w:val="00B8178C"/>
    <w:rsid w:val="00B82182"/>
    <w:rsid w:val="00B825E2"/>
    <w:rsid w:val="00B82CAD"/>
    <w:rsid w:val="00B833B6"/>
    <w:rsid w:val="00B83675"/>
    <w:rsid w:val="00B83A55"/>
    <w:rsid w:val="00B83A8E"/>
    <w:rsid w:val="00B83FBE"/>
    <w:rsid w:val="00B84E81"/>
    <w:rsid w:val="00B85243"/>
    <w:rsid w:val="00B868AF"/>
    <w:rsid w:val="00B869C6"/>
    <w:rsid w:val="00B8734E"/>
    <w:rsid w:val="00B90A41"/>
    <w:rsid w:val="00B90F16"/>
    <w:rsid w:val="00B914BB"/>
    <w:rsid w:val="00B92EBC"/>
    <w:rsid w:val="00B93741"/>
    <w:rsid w:val="00B938B8"/>
    <w:rsid w:val="00B93D3D"/>
    <w:rsid w:val="00B94721"/>
    <w:rsid w:val="00B949CC"/>
    <w:rsid w:val="00B96C97"/>
    <w:rsid w:val="00B97681"/>
    <w:rsid w:val="00BA03EE"/>
    <w:rsid w:val="00BA05C4"/>
    <w:rsid w:val="00BA0AD1"/>
    <w:rsid w:val="00BA10B0"/>
    <w:rsid w:val="00BA165A"/>
    <w:rsid w:val="00BA1D53"/>
    <w:rsid w:val="00BA23D5"/>
    <w:rsid w:val="00BA3808"/>
    <w:rsid w:val="00BA38D5"/>
    <w:rsid w:val="00BA3FA2"/>
    <w:rsid w:val="00BA426A"/>
    <w:rsid w:val="00BA43E8"/>
    <w:rsid w:val="00BA5742"/>
    <w:rsid w:val="00BA574B"/>
    <w:rsid w:val="00BA57A9"/>
    <w:rsid w:val="00BA5BE2"/>
    <w:rsid w:val="00BA6434"/>
    <w:rsid w:val="00BA67A4"/>
    <w:rsid w:val="00BA7D0A"/>
    <w:rsid w:val="00BA7DDE"/>
    <w:rsid w:val="00BB05B3"/>
    <w:rsid w:val="00BB09EC"/>
    <w:rsid w:val="00BB0DD8"/>
    <w:rsid w:val="00BB12F9"/>
    <w:rsid w:val="00BB18B2"/>
    <w:rsid w:val="00BB2098"/>
    <w:rsid w:val="00BB2C52"/>
    <w:rsid w:val="00BB36B3"/>
    <w:rsid w:val="00BB531E"/>
    <w:rsid w:val="00BB5368"/>
    <w:rsid w:val="00BB5D4D"/>
    <w:rsid w:val="00BB5F18"/>
    <w:rsid w:val="00BB60AD"/>
    <w:rsid w:val="00BB6A87"/>
    <w:rsid w:val="00BB6BB2"/>
    <w:rsid w:val="00BB763D"/>
    <w:rsid w:val="00BB76F1"/>
    <w:rsid w:val="00BB7F89"/>
    <w:rsid w:val="00BC106C"/>
    <w:rsid w:val="00BC1136"/>
    <w:rsid w:val="00BC1262"/>
    <w:rsid w:val="00BC20E6"/>
    <w:rsid w:val="00BC2879"/>
    <w:rsid w:val="00BC2952"/>
    <w:rsid w:val="00BC38D0"/>
    <w:rsid w:val="00BC48A6"/>
    <w:rsid w:val="00BC5EDA"/>
    <w:rsid w:val="00BC5EE6"/>
    <w:rsid w:val="00BC6328"/>
    <w:rsid w:val="00BC6A7B"/>
    <w:rsid w:val="00BC75D0"/>
    <w:rsid w:val="00BC763A"/>
    <w:rsid w:val="00BD0DD4"/>
    <w:rsid w:val="00BD0E4B"/>
    <w:rsid w:val="00BD0E91"/>
    <w:rsid w:val="00BD4347"/>
    <w:rsid w:val="00BD4971"/>
    <w:rsid w:val="00BD4B62"/>
    <w:rsid w:val="00BD5B7D"/>
    <w:rsid w:val="00BD5D3C"/>
    <w:rsid w:val="00BE0957"/>
    <w:rsid w:val="00BE15CB"/>
    <w:rsid w:val="00BE299A"/>
    <w:rsid w:val="00BE3A29"/>
    <w:rsid w:val="00BE3D10"/>
    <w:rsid w:val="00BE6FBB"/>
    <w:rsid w:val="00BE6FFA"/>
    <w:rsid w:val="00BF0A23"/>
    <w:rsid w:val="00BF18A9"/>
    <w:rsid w:val="00BF270C"/>
    <w:rsid w:val="00BF27D1"/>
    <w:rsid w:val="00BF366B"/>
    <w:rsid w:val="00BF5167"/>
    <w:rsid w:val="00BF5305"/>
    <w:rsid w:val="00BF5778"/>
    <w:rsid w:val="00BF60D2"/>
    <w:rsid w:val="00C00B09"/>
    <w:rsid w:val="00C01464"/>
    <w:rsid w:val="00C01AC7"/>
    <w:rsid w:val="00C02298"/>
    <w:rsid w:val="00C02988"/>
    <w:rsid w:val="00C03302"/>
    <w:rsid w:val="00C03603"/>
    <w:rsid w:val="00C03FBF"/>
    <w:rsid w:val="00C04273"/>
    <w:rsid w:val="00C04A70"/>
    <w:rsid w:val="00C0569E"/>
    <w:rsid w:val="00C05F51"/>
    <w:rsid w:val="00C06557"/>
    <w:rsid w:val="00C065AF"/>
    <w:rsid w:val="00C0738E"/>
    <w:rsid w:val="00C105BE"/>
    <w:rsid w:val="00C11DCF"/>
    <w:rsid w:val="00C122F5"/>
    <w:rsid w:val="00C127B5"/>
    <w:rsid w:val="00C12D66"/>
    <w:rsid w:val="00C131A3"/>
    <w:rsid w:val="00C13365"/>
    <w:rsid w:val="00C1378B"/>
    <w:rsid w:val="00C14CCF"/>
    <w:rsid w:val="00C15B3A"/>
    <w:rsid w:val="00C15EF7"/>
    <w:rsid w:val="00C166CF"/>
    <w:rsid w:val="00C16C2A"/>
    <w:rsid w:val="00C17154"/>
    <w:rsid w:val="00C1757C"/>
    <w:rsid w:val="00C17854"/>
    <w:rsid w:val="00C178E2"/>
    <w:rsid w:val="00C202A3"/>
    <w:rsid w:val="00C210F9"/>
    <w:rsid w:val="00C219F4"/>
    <w:rsid w:val="00C227F1"/>
    <w:rsid w:val="00C237CE"/>
    <w:rsid w:val="00C24750"/>
    <w:rsid w:val="00C251FA"/>
    <w:rsid w:val="00C25399"/>
    <w:rsid w:val="00C25D22"/>
    <w:rsid w:val="00C26C9C"/>
    <w:rsid w:val="00C276F3"/>
    <w:rsid w:val="00C2788B"/>
    <w:rsid w:val="00C30A33"/>
    <w:rsid w:val="00C311C9"/>
    <w:rsid w:val="00C32198"/>
    <w:rsid w:val="00C3256E"/>
    <w:rsid w:val="00C32E6D"/>
    <w:rsid w:val="00C349BF"/>
    <w:rsid w:val="00C34C11"/>
    <w:rsid w:val="00C35BA1"/>
    <w:rsid w:val="00C35C41"/>
    <w:rsid w:val="00C37083"/>
    <w:rsid w:val="00C37A71"/>
    <w:rsid w:val="00C40401"/>
    <w:rsid w:val="00C411D1"/>
    <w:rsid w:val="00C4167F"/>
    <w:rsid w:val="00C42151"/>
    <w:rsid w:val="00C4316F"/>
    <w:rsid w:val="00C43791"/>
    <w:rsid w:val="00C43AEC"/>
    <w:rsid w:val="00C43F12"/>
    <w:rsid w:val="00C4487E"/>
    <w:rsid w:val="00C45BC0"/>
    <w:rsid w:val="00C45C1F"/>
    <w:rsid w:val="00C45C75"/>
    <w:rsid w:val="00C461B1"/>
    <w:rsid w:val="00C46485"/>
    <w:rsid w:val="00C468CD"/>
    <w:rsid w:val="00C47D6E"/>
    <w:rsid w:val="00C50569"/>
    <w:rsid w:val="00C505B3"/>
    <w:rsid w:val="00C513F1"/>
    <w:rsid w:val="00C52314"/>
    <w:rsid w:val="00C52674"/>
    <w:rsid w:val="00C52C97"/>
    <w:rsid w:val="00C53725"/>
    <w:rsid w:val="00C53C8C"/>
    <w:rsid w:val="00C53D1E"/>
    <w:rsid w:val="00C55167"/>
    <w:rsid w:val="00C553EF"/>
    <w:rsid w:val="00C55DAB"/>
    <w:rsid w:val="00C56487"/>
    <w:rsid w:val="00C5658B"/>
    <w:rsid w:val="00C565F8"/>
    <w:rsid w:val="00C56803"/>
    <w:rsid w:val="00C56F87"/>
    <w:rsid w:val="00C575DA"/>
    <w:rsid w:val="00C57F0A"/>
    <w:rsid w:val="00C610BD"/>
    <w:rsid w:val="00C619C6"/>
    <w:rsid w:val="00C6247F"/>
    <w:rsid w:val="00C62DD9"/>
    <w:rsid w:val="00C63928"/>
    <w:rsid w:val="00C64004"/>
    <w:rsid w:val="00C6420A"/>
    <w:rsid w:val="00C64AC0"/>
    <w:rsid w:val="00C67B34"/>
    <w:rsid w:val="00C721C4"/>
    <w:rsid w:val="00C72587"/>
    <w:rsid w:val="00C7265E"/>
    <w:rsid w:val="00C72AE0"/>
    <w:rsid w:val="00C730AE"/>
    <w:rsid w:val="00C740D1"/>
    <w:rsid w:val="00C74146"/>
    <w:rsid w:val="00C74339"/>
    <w:rsid w:val="00C74779"/>
    <w:rsid w:val="00C74CC1"/>
    <w:rsid w:val="00C76380"/>
    <w:rsid w:val="00C76FF5"/>
    <w:rsid w:val="00C8049B"/>
    <w:rsid w:val="00C805D4"/>
    <w:rsid w:val="00C80F0B"/>
    <w:rsid w:val="00C81FD7"/>
    <w:rsid w:val="00C824CA"/>
    <w:rsid w:val="00C82C78"/>
    <w:rsid w:val="00C8316E"/>
    <w:rsid w:val="00C83998"/>
    <w:rsid w:val="00C85552"/>
    <w:rsid w:val="00C85691"/>
    <w:rsid w:val="00C87F06"/>
    <w:rsid w:val="00C91339"/>
    <w:rsid w:val="00C914F8"/>
    <w:rsid w:val="00C91742"/>
    <w:rsid w:val="00C91A25"/>
    <w:rsid w:val="00C9208E"/>
    <w:rsid w:val="00C92B65"/>
    <w:rsid w:val="00C92CF0"/>
    <w:rsid w:val="00C933FC"/>
    <w:rsid w:val="00C9408B"/>
    <w:rsid w:val="00C94314"/>
    <w:rsid w:val="00C943FB"/>
    <w:rsid w:val="00C94767"/>
    <w:rsid w:val="00C94BA4"/>
    <w:rsid w:val="00C94BF4"/>
    <w:rsid w:val="00C95622"/>
    <w:rsid w:val="00C956C9"/>
    <w:rsid w:val="00C96C76"/>
    <w:rsid w:val="00C96D77"/>
    <w:rsid w:val="00C96F5E"/>
    <w:rsid w:val="00C97797"/>
    <w:rsid w:val="00C979CF"/>
    <w:rsid w:val="00CA0D7F"/>
    <w:rsid w:val="00CA144A"/>
    <w:rsid w:val="00CA1D61"/>
    <w:rsid w:val="00CA1F04"/>
    <w:rsid w:val="00CA2D36"/>
    <w:rsid w:val="00CA31DB"/>
    <w:rsid w:val="00CA335C"/>
    <w:rsid w:val="00CA3755"/>
    <w:rsid w:val="00CA4648"/>
    <w:rsid w:val="00CA497F"/>
    <w:rsid w:val="00CA4D68"/>
    <w:rsid w:val="00CA4E4A"/>
    <w:rsid w:val="00CA559D"/>
    <w:rsid w:val="00CA65A3"/>
    <w:rsid w:val="00CA710D"/>
    <w:rsid w:val="00CA710F"/>
    <w:rsid w:val="00CA7BC3"/>
    <w:rsid w:val="00CB0913"/>
    <w:rsid w:val="00CB3331"/>
    <w:rsid w:val="00CB33E9"/>
    <w:rsid w:val="00CB3DF0"/>
    <w:rsid w:val="00CB4155"/>
    <w:rsid w:val="00CB5AC2"/>
    <w:rsid w:val="00CB6E7B"/>
    <w:rsid w:val="00CC1152"/>
    <w:rsid w:val="00CC2089"/>
    <w:rsid w:val="00CC2F01"/>
    <w:rsid w:val="00CC37D3"/>
    <w:rsid w:val="00CC3D0D"/>
    <w:rsid w:val="00CC4EBD"/>
    <w:rsid w:val="00CC4FC6"/>
    <w:rsid w:val="00CC5BAC"/>
    <w:rsid w:val="00CC5F2C"/>
    <w:rsid w:val="00CC7854"/>
    <w:rsid w:val="00CD0667"/>
    <w:rsid w:val="00CD2B73"/>
    <w:rsid w:val="00CD2D22"/>
    <w:rsid w:val="00CD3A25"/>
    <w:rsid w:val="00CD4824"/>
    <w:rsid w:val="00CD4C63"/>
    <w:rsid w:val="00CD5253"/>
    <w:rsid w:val="00CD5E51"/>
    <w:rsid w:val="00CD5F96"/>
    <w:rsid w:val="00CD61EB"/>
    <w:rsid w:val="00CD6CDD"/>
    <w:rsid w:val="00CD719D"/>
    <w:rsid w:val="00CD75BA"/>
    <w:rsid w:val="00CD7697"/>
    <w:rsid w:val="00CD7F2D"/>
    <w:rsid w:val="00CE0274"/>
    <w:rsid w:val="00CE08C0"/>
    <w:rsid w:val="00CE09B0"/>
    <w:rsid w:val="00CE0FCF"/>
    <w:rsid w:val="00CE1A7B"/>
    <w:rsid w:val="00CE32A8"/>
    <w:rsid w:val="00CE38CE"/>
    <w:rsid w:val="00CE509D"/>
    <w:rsid w:val="00CE574E"/>
    <w:rsid w:val="00CE5795"/>
    <w:rsid w:val="00CE6359"/>
    <w:rsid w:val="00CE64F6"/>
    <w:rsid w:val="00CE6942"/>
    <w:rsid w:val="00CE6F00"/>
    <w:rsid w:val="00CF01AB"/>
    <w:rsid w:val="00CF0A6B"/>
    <w:rsid w:val="00CF1279"/>
    <w:rsid w:val="00CF153C"/>
    <w:rsid w:val="00CF17CA"/>
    <w:rsid w:val="00CF1869"/>
    <w:rsid w:val="00CF19B2"/>
    <w:rsid w:val="00CF1DF6"/>
    <w:rsid w:val="00CF3423"/>
    <w:rsid w:val="00CF353A"/>
    <w:rsid w:val="00CF39BD"/>
    <w:rsid w:val="00CF4019"/>
    <w:rsid w:val="00CF4513"/>
    <w:rsid w:val="00CF50AE"/>
    <w:rsid w:val="00CF51D4"/>
    <w:rsid w:val="00CF553A"/>
    <w:rsid w:val="00CF567F"/>
    <w:rsid w:val="00CF6A7A"/>
    <w:rsid w:val="00CF6E85"/>
    <w:rsid w:val="00CF6F59"/>
    <w:rsid w:val="00CF7606"/>
    <w:rsid w:val="00CF78A8"/>
    <w:rsid w:val="00D0073D"/>
    <w:rsid w:val="00D009E2"/>
    <w:rsid w:val="00D01805"/>
    <w:rsid w:val="00D03281"/>
    <w:rsid w:val="00D03317"/>
    <w:rsid w:val="00D04ECE"/>
    <w:rsid w:val="00D05053"/>
    <w:rsid w:val="00D052C4"/>
    <w:rsid w:val="00D05E10"/>
    <w:rsid w:val="00D074DC"/>
    <w:rsid w:val="00D07B4E"/>
    <w:rsid w:val="00D1009E"/>
    <w:rsid w:val="00D102BD"/>
    <w:rsid w:val="00D111E7"/>
    <w:rsid w:val="00D11E7A"/>
    <w:rsid w:val="00D11EE7"/>
    <w:rsid w:val="00D11F64"/>
    <w:rsid w:val="00D1241F"/>
    <w:rsid w:val="00D12A79"/>
    <w:rsid w:val="00D12DED"/>
    <w:rsid w:val="00D1353B"/>
    <w:rsid w:val="00D135EF"/>
    <w:rsid w:val="00D1379E"/>
    <w:rsid w:val="00D1401F"/>
    <w:rsid w:val="00D163E7"/>
    <w:rsid w:val="00D16683"/>
    <w:rsid w:val="00D16856"/>
    <w:rsid w:val="00D170E7"/>
    <w:rsid w:val="00D17651"/>
    <w:rsid w:val="00D21176"/>
    <w:rsid w:val="00D21343"/>
    <w:rsid w:val="00D23578"/>
    <w:rsid w:val="00D23988"/>
    <w:rsid w:val="00D23A0A"/>
    <w:rsid w:val="00D23F3E"/>
    <w:rsid w:val="00D24048"/>
    <w:rsid w:val="00D25030"/>
    <w:rsid w:val="00D25FF6"/>
    <w:rsid w:val="00D26580"/>
    <w:rsid w:val="00D27675"/>
    <w:rsid w:val="00D277A4"/>
    <w:rsid w:val="00D2781D"/>
    <w:rsid w:val="00D30152"/>
    <w:rsid w:val="00D302F7"/>
    <w:rsid w:val="00D30ACF"/>
    <w:rsid w:val="00D31320"/>
    <w:rsid w:val="00D3224F"/>
    <w:rsid w:val="00D32684"/>
    <w:rsid w:val="00D333E6"/>
    <w:rsid w:val="00D3438F"/>
    <w:rsid w:val="00D3447E"/>
    <w:rsid w:val="00D3522C"/>
    <w:rsid w:val="00D367C9"/>
    <w:rsid w:val="00D368A2"/>
    <w:rsid w:val="00D3763C"/>
    <w:rsid w:val="00D41282"/>
    <w:rsid w:val="00D41D1A"/>
    <w:rsid w:val="00D42967"/>
    <w:rsid w:val="00D43915"/>
    <w:rsid w:val="00D44EF5"/>
    <w:rsid w:val="00D4588E"/>
    <w:rsid w:val="00D45CE1"/>
    <w:rsid w:val="00D461BB"/>
    <w:rsid w:val="00D477EA"/>
    <w:rsid w:val="00D50025"/>
    <w:rsid w:val="00D50F4E"/>
    <w:rsid w:val="00D5226D"/>
    <w:rsid w:val="00D52862"/>
    <w:rsid w:val="00D5298E"/>
    <w:rsid w:val="00D53E8F"/>
    <w:rsid w:val="00D53F99"/>
    <w:rsid w:val="00D545D3"/>
    <w:rsid w:val="00D55788"/>
    <w:rsid w:val="00D55974"/>
    <w:rsid w:val="00D55EB8"/>
    <w:rsid w:val="00D5622B"/>
    <w:rsid w:val="00D563DF"/>
    <w:rsid w:val="00D56B95"/>
    <w:rsid w:val="00D57109"/>
    <w:rsid w:val="00D57499"/>
    <w:rsid w:val="00D6083B"/>
    <w:rsid w:val="00D60890"/>
    <w:rsid w:val="00D61575"/>
    <w:rsid w:val="00D61709"/>
    <w:rsid w:val="00D61B9E"/>
    <w:rsid w:val="00D64D23"/>
    <w:rsid w:val="00D64DEB"/>
    <w:rsid w:val="00D6505B"/>
    <w:rsid w:val="00D654B4"/>
    <w:rsid w:val="00D6571B"/>
    <w:rsid w:val="00D65EA0"/>
    <w:rsid w:val="00D675C3"/>
    <w:rsid w:val="00D677D6"/>
    <w:rsid w:val="00D707BE"/>
    <w:rsid w:val="00D70DE2"/>
    <w:rsid w:val="00D71AC4"/>
    <w:rsid w:val="00D73288"/>
    <w:rsid w:val="00D73B06"/>
    <w:rsid w:val="00D74A82"/>
    <w:rsid w:val="00D7578D"/>
    <w:rsid w:val="00D770C2"/>
    <w:rsid w:val="00D77733"/>
    <w:rsid w:val="00D80559"/>
    <w:rsid w:val="00D81237"/>
    <w:rsid w:val="00D813E0"/>
    <w:rsid w:val="00D81682"/>
    <w:rsid w:val="00D81736"/>
    <w:rsid w:val="00D81B22"/>
    <w:rsid w:val="00D822C6"/>
    <w:rsid w:val="00D828D6"/>
    <w:rsid w:val="00D837E7"/>
    <w:rsid w:val="00D8398B"/>
    <w:rsid w:val="00D85369"/>
    <w:rsid w:val="00D85D4B"/>
    <w:rsid w:val="00D87032"/>
    <w:rsid w:val="00D8797E"/>
    <w:rsid w:val="00D91584"/>
    <w:rsid w:val="00D915ED"/>
    <w:rsid w:val="00D919A7"/>
    <w:rsid w:val="00D91BF6"/>
    <w:rsid w:val="00D93378"/>
    <w:rsid w:val="00D962F7"/>
    <w:rsid w:val="00D96A03"/>
    <w:rsid w:val="00DA0E09"/>
    <w:rsid w:val="00DA11B5"/>
    <w:rsid w:val="00DA14E8"/>
    <w:rsid w:val="00DA1D4B"/>
    <w:rsid w:val="00DA2F62"/>
    <w:rsid w:val="00DA334F"/>
    <w:rsid w:val="00DA37AC"/>
    <w:rsid w:val="00DA3A05"/>
    <w:rsid w:val="00DA44A8"/>
    <w:rsid w:val="00DA4BFE"/>
    <w:rsid w:val="00DA54FD"/>
    <w:rsid w:val="00DA575B"/>
    <w:rsid w:val="00DA589E"/>
    <w:rsid w:val="00DA5FBF"/>
    <w:rsid w:val="00DA6A64"/>
    <w:rsid w:val="00DA6FD6"/>
    <w:rsid w:val="00DB0505"/>
    <w:rsid w:val="00DB09D8"/>
    <w:rsid w:val="00DB0E75"/>
    <w:rsid w:val="00DB1310"/>
    <w:rsid w:val="00DB15E9"/>
    <w:rsid w:val="00DB1E03"/>
    <w:rsid w:val="00DB268F"/>
    <w:rsid w:val="00DB29BB"/>
    <w:rsid w:val="00DB2FEA"/>
    <w:rsid w:val="00DB36F2"/>
    <w:rsid w:val="00DB3F03"/>
    <w:rsid w:val="00DB3F5F"/>
    <w:rsid w:val="00DB407B"/>
    <w:rsid w:val="00DB40BC"/>
    <w:rsid w:val="00DB46F7"/>
    <w:rsid w:val="00DB4F71"/>
    <w:rsid w:val="00DB7091"/>
    <w:rsid w:val="00DB75E8"/>
    <w:rsid w:val="00DC0102"/>
    <w:rsid w:val="00DC048F"/>
    <w:rsid w:val="00DC0B00"/>
    <w:rsid w:val="00DC0FF3"/>
    <w:rsid w:val="00DC2460"/>
    <w:rsid w:val="00DC3FDD"/>
    <w:rsid w:val="00DC4ABA"/>
    <w:rsid w:val="00DC5966"/>
    <w:rsid w:val="00DC6613"/>
    <w:rsid w:val="00DC6C63"/>
    <w:rsid w:val="00DC735E"/>
    <w:rsid w:val="00DC77AF"/>
    <w:rsid w:val="00DD0F56"/>
    <w:rsid w:val="00DD21E3"/>
    <w:rsid w:val="00DD231E"/>
    <w:rsid w:val="00DD3111"/>
    <w:rsid w:val="00DD31D4"/>
    <w:rsid w:val="00DD36F4"/>
    <w:rsid w:val="00DD372C"/>
    <w:rsid w:val="00DD3950"/>
    <w:rsid w:val="00DD4A1C"/>
    <w:rsid w:val="00DD4AB7"/>
    <w:rsid w:val="00DD61C9"/>
    <w:rsid w:val="00DD663C"/>
    <w:rsid w:val="00DD66DD"/>
    <w:rsid w:val="00DD68BC"/>
    <w:rsid w:val="00DD6D3C"/>
    <w:rsid w:val="00DE09AC"/>
    <w:rsid w:val="00DE163B"/>
    <w:rsid w:val="00DE1CA2"/>
    <w:rsid w:val="00DE2C15"/>
    <w:rsid w:val="00DE2FF3"/>
    <w:rsid w:val="00DE3F95"/>
    <w:rsid w:val="00DE4708"/>
    <w:rsid w:val="00DE55AE"/>
    <w:rsid w:val="00DE5681"/>
    <w:rsid w:val="00DE6027"/>
    <w:rsid w:val="00DE6894"/>
    <w:rsid w:val="00DE6BBF"/>
    <w:rsid w:val="00DE6D98"/>
    <w:rsid w:val="00DF00F2"/>
    <w:rsid w:val="00DF0DCF"/>
    <w:rsid w:val="00DF11AC"/>
    <w:rsid w:val="00DF2120"/>
    <w:rsid w:val="00DF2562"/>
    <w:rsid w:val="00DF2A88"/>
    <w:rsid w:val="00DF4522"/>
    <w:rsid w:val="00DF464F"/>
    <w:rsid w:val="00DF47E1"/>
    <w:rsid w:val="00DF4843"/>
    <w:rsid w:val="00DF4BE9"/>
    <w:rsid w:val="00DF4E94"/>
    <w:rsid w:val="00DF57A4"/>
    <w:rsid w:val="00DF5836"/>
    <w:rsid w:val="00DF610D"/>
    <w:rsid w:val="00DF670F"/>
    <w:rsid w:val="00DF6C1C"/>
    <w:rsid w:val="00DF7945"/>
    <w:rsid w:val="00DF7EF2"/>
    <w:rsid w:val="00E002CF"/>
    <w:rsid w:val="00E00F2B"/>
    <w:rsid w:val="00E0136B"/>
    <w:rsid w:val="00E01E1B"/>
    <w:rsid w:val="00E023F7"/>
    <w:rsid w:val="00E031B1"/>
    <w:rsid w:val="00E04631"/>
    <w:rsid w:val="00E0465E"/>
    <w:rsid w:val="00E046A8"/>
    <w:rsid w:val="00E04848"/>
    <w:rsid w:val="00E05031"/>
    <w:rsid w:val="00E05918"/>
    <w:rsid w:val="00E06325"/>
    <w:rsid w:val="00E06D7C"/>
    <w:rsid w:val="00E06EE4"/>
    <w:rsid w:val="00E110F3"/>
    <w:rsid w:val="00E112E5"/>
    <w:rsid w:val="00E120ED"/>
    <w:rsid w:val="00E12417"/>
    <w:rsid w:val="00E13668"/>
    <w:rsid w:val="00E137A8"/>
    <w:rsid w:val="00E14599"/>
    <w:rsid w:val="00E15EBC"/>
    <w:rsid w:val="00E160DA"/>
    <w:rsid w:val="00E1685D"/>
    <w:rsid w:val="00E174EA"/>
    <w:rsid w:val="00E175BD"/>
    <w:rsid w:val="00E17D3A"/>
    <w:rsid w:val="00E200B3"/>
    <w:rsid w:val="00E200E0"/>
    <w:rsid w:val="00E21735"/>
    <w:rsid w:val="00E21814"/>
    <w:rsid w:val="00E21D03"/>
    <w:rsid w:val="00E21D0A"/>
    <w:rsid w:val="00E22E5E"/>
    <w:rsid w:val="00E236F1"/>
    <w:rsid w:val="00E23C2D"/>
    <w:rsid w:val="00E24D40"/>
    <w:rsid w:val="00E26AEE"/>
    <w:rsid w:val="00E274C9"/>
    <w:rsid w:val="00E279FF"/>
    <w:rsid w:val="00E27D7F"/>
    <w:rsid w:val="00E305C4"/>
    <w:rsid w:val="00E30A6B"/>
    <w:rsid w:val="00E310AE"/>
    <w:rsid w:val="00E31100"/>
    <w:rsid w:val="00E31881"/>
    <w:rsid w:val="00E31957"/>
    <w:rsid w:val="00E3241E"/>
    <w:rsid w:val="00E32426"/>
    <w:rsid w:val="00E324F0"/>
    <w:rsid w:val="00E34607"/>
    <w:rsid w:val="00E35095"/>
    <w:rsid w:val="00E366BA"/>
    <w:rsid w:val="00E36F65"/>
    <w:rsid w:val="00E37810"/>
    <w:rsid w:val="00E402BA"/>
    <w:rsid w:val="00E404FE"/>
    <w:rsid w:val="00E4076A"/>
    <w:rsid w:val="00E42416"/>
    <w:rsid w:val="00E426E5"/>
    <w:rsid w:val="00E43068"/>
    <w:rsid w:val="00E43427"/>
    <w:rsid w:val="00E43C08"/>
    <w:rsid w:val="00E440EF"/>
    <w:rsid w:val="00E4518F"/>
    <w:rsid w:val="00E45C09"/>
    <w:rsid w:val="00E45F77"/>
    <w:rsid w:val="00E4693E"/>
    <w:rsid w:val="00E473E8"/>
    <w:rsid w:val="00E50B5A"/>
    <w:rsid w:val="00E50BC3"/>
    <w:rsid w:val="00E52C7C"/>
    <w:rsid w:val="00E53601"/>
    <w:rsid w:val="00E54155"/>
    <w:rsid w:val="00E545D4"/>
    <w:rsid w:val="00E55002"/>
    <w:rsid w:val="00E553B2"/>
    <w:rsid w:val="00E559A9"/>
    <w:rsid w:val="00E56DE9"/>
    <w:rsid w:val="00E57495"/>
    <w:rsid w:val="00E608F4"/>
    <w:rsid w:val="00E6188D"/>
    <w:rsid w:val="00E628B9"/>
    <w:rsid w:val="00E633A9"/>
    <w:rsid w:val="00E640DD"/>
    <w:rsid w:val="00E643F3"/>
    <w:rsid w:val="00E64C9C"/>
    <w:rsid w:val="00E662D7"/>
    <w:rsid w:val="00E66305"/>
    <w:rsid w:val="00E67158"/>
    <w:rsid w:val="00E7002C"/>
    <w:rsid w:val="00E702CC"/>
    <w:rsid w:val="00E717B9"/>
    <w:rsid w:val="00E72D61"/>
    <w:rsid w:val="00E72FE0"/>
    <w:rsid w:val="00E73DC7"/>
    <w:rsid w:val="00E74944"/>
    <w:rsid w:val="00E7596F"/>
    <w:rsid w:val="00E75CF5"/>
    <w:rsid w:val="00E75CFE"/>
    <w:rsid w:val="00E75F84"/>
    <w:rsid w:val="00E761A4"/>
    <w:rsid w:val="00E76309"/>
    <w:rsid w:val="00E7764C"/>
    <w:rsid w:val="00E77883"/>
    <w:rsid w:val="00E77ADC"/>
    <w:rsid w:val="00E77B27"/>
    <w:rsid w:val="00E77FD6"/>
    <w:rsid w:val="00E80052"/>
    <w:rsid w:val="00E80439"/>
    <w:rsid w:val="00E828A6"/>
    <w:rsid w:val="00E82C22"/>
    <w:rsid w:val="00E830B2"/>
    <w:rsid w:val="00E83570"/>
    <w:rsid w:val="00E84300"/>
    <w:rsid w:val="00E850BF"/>
    <w:rsid w:val="00E87A6B"/>
    <w:rsid w:val="00E9091F"/>
    <w:rsid w:val="00E90E55"/>
    <w:rsid w:val="00E911B1"/>
    <w:rsid w:val="00E9160C"/>
    <w:rsid w:val="00E916F3"/>
    <w:rsid w:val="00E91A9B"/>
    <w:rsid w:val="00E91F04"/>
    <w:rsid w:val="00E92895"/>
    <w:rsid w:val="00E928E5"/>
    <w:rsid w:val="00E92BC8"/>
    <w:rsid w:val="00E93D78"/>
    <w:rsid w:val="00E95A62"/>
    <w:rsid w:val="00E95F94"/>
    <w:rsid w:val="00E965BE"/>
    <w:rsid w:val="00E96B54"/>
    <w:rsid w:val="00E9741A"/>
    <w:rsid w:val="00E974D1"/>
    <w:rsid w:val="00EA0CD2"/>
    <w:rsid w:val="00EA11E0"/>
    <w:rsid w:val="00EA1393"/>
    <w:rsid w:val="00EA2237"/>
    <w:rsid w:val="00EA3C60"/>
    <w:rsid w:val="00EA3CC8"/>
    <w:rsid w:val="00EA40F3"/>
    <w:rsid w:val="00EA6951"/>
    <w:rsid w:val="00EB04CD"/>
    <w:rsid w:val="00EB0B4F"/>
    <w:rsid w:val="00EB1B97"/>
    <w:rsid w:val="00EB3A96"/>
    <w:rsid w:val="00EB45F3"/>
    <w:rsid w:val="00EB4A14"/>
    <w:rsid w:val="00EB57B5"/>
    <w:rsid w:val="00EB6077"/>
    <w:rsid w:val="00EC04A5"/>
    <w:rsid w:val="00EC0751"/>
    <w:rsid w:val="00EC14FB"/>
    <w:rsid w:val="00EC2DD9"/>
    <w:rsid w:val="00EC381F"/>
    <w:rsid w:val="00EC3B5E"/>
    <w:rsid w:val="00EC3D69"/>
    <w:rsid w:val="00EC3F32"/>
    <w:rsid w:val="00EC48CE"/>
    <w:rsid w:val="00EC4985"/>
    <w:rsid w:val="00EC4FD5"/>
    <w:rsid w:val="00EC628C"/>
    <w:rsid w:val="00EC6DEB"/>
    <w:rsid w:val="00EC71A9"/>
    <w:rsid w:val="00ED0BDC"/>
    <w:rsid w:val="00ED125A"/>
    <w:rsid w:val="00ED1B74"/>
    <w:rsid w:val="00ED2D17"/>
    <w:rsid w:val="00ED3DC4"/>
    <w:rsid w:val="00ED4395"/>
    <w:rsid w:val="00ED4A4F"/>
    <w:rsid w:val="00ED526E"/>
    <w:rsid w:val="00ED55C3"/>
    <w:rsid w:val="00ED62FF"/>
    <w:rsid w:val="00ED6434"/>
    <w:rsid w:val="00ED6F42"/>
    <w:rsid w:val="00ED714A"/>
    <w:rsid w:val="00ED79BC"/>
    <w:rsid w:val="00EE11D5"/>
    <w:rsid w:val="00EE1265"/>
    <w:rsid w:val="00EE1517"/>
    <w:rsid w:val="00EE2447"/>
    <w:rsid w:val="00EE2900"/>
    <w:rsid w:val="00EE2A99"/>
    <w:rsid w:val="00EE6FC3"/>
    <w:rsid w:val="00EE6FDA"/>
    <w:rsid w:val="00EE7003"/>
    <w:rsid w:val="00EE795A"/>
    <w:rsid w:val="00EE7EC6"/>
    <w:rsid w:val="00EF0254"/>
    <w:rsid w:val="00EF1A03"/>
    <w:rsid w:val="00EF2D7C"/>
    <w:rsid w:val="00EF2E2F"/>
    <w:rsid w:val="00EF2EDF"/>
    <w:rsid w:val="00EF3A2E"/>
    <w:rsid w:val="00EF3B61"/>
    <w:rsid w:val="00EF3CEA"/>
    <w:rsid w:val="00EF4391"/>
    <w:rsid w:val="00EF46DA"/>
    <w:rsid w:val="00EF472A"/>
    <w:rsid w:val="00EF6953"/>
    <w:rsid w:val="00EF7954"/>
    <w:rsid w:val="00F00B6B"/>
    <w:rsid w:val="00F010D6"/>
    <w:rsid w:val="00F012C8"/>
    <w:rsid w:val="00F013D5"/>
    <w:rsid w:val="00F01DB1"/>
    <w:rsid w:val="00F023CC"/>
    <w:rsid w:val="00F0344E"/>
    <w:rsid w:val="00F04E72"/>
    <w:rsid w:val="00F0512D"/>
    <w:rsid w:val="00F058B5"/>
    <w:rsid w:val="00F05BD6"/>
    <w:rsid w:val="00F06082"/>
    <w:rsid w:val="00F06150"/>
    <w:rsid w:val="00F06218"/>
    <w:rsid w:val="00F06AE5"/>
    <w:rsid w:val="00F07269"/>
    <w:rsid w:val="00F074ED"/>
    <w:rsid w:val="00F10A55"/>
    <w:rsid w:val="00F10CC6"/>
    <w:rsid w:val="00F11064"/>
    <w:rsid w:val="00F12424"/>
    <w:rsid w:val="00F1396E"/>
    <w:rsid w:val="00F1417D"/>
    <w:rsid w:val="00F144D4"/>
    <w:rsid w:val="00F14752"/>
    <w:rsid w:val="00F14B7A"/>
    <w:rsid w:val="00F15B1D"/>
    <w:rsid w:val="00F174A9"/>
    <w:rsid w:val="00F20201"/>
    <w:rsid w:val="00F20788"/>
    <w:rsid w:val="00F21264"/>
    <w:rsid w:val="00F216A7"/>
    <w:rsid w:val="00F21DBF"/>
    <w:rsid w:val="00F245B1"/>
    <w:rsid w:val="00F24777"/>
    <w:rsid w:val="00F24995"/>
    <w:rsid w:val="00F25713"/>
    <w:rsid w:val="00F2624C"/>
    <w:rsid w:val="00F26294"/>
    <w:rsid w:val="00F262F6"/>
    <w:rsid w:val="00F27338"/>
    <w:rsid w:val="00F276C0"/>
    <w:rsid w:val="00F27B41"/>
    <w:rsid w:val="00F27BF3"/>
    <w:rsid w:val="00F3007E"/>
    <w:rsid w:val="00F30547"/>
    <w:rsid w:val="00F30707"/>
    <w:rsid w:val="00F30FC8"/>
    <w:rsid w:val="00F31366"/>
    <w:rsid w:val="00F31C4F"/>
    <w:rsid w:val="00F31DC8"/>
    <w:rsid w:val="00F328E0"/>
    <w:rsid w:val="00F3293B"/>
    <w:rsid w:val="00F32EBA"/>
    <w:rsid w:val="00F33534"/>
    <w:rsid w:val="00F336B1"/>
    <w:rsid w:val="00F33CD6"/>
    <w:rsid w:val="00F345B9"/>
    <w:rsid w:val="00F346BA"/>
    <w:rsid w:val="00F34F90"/>
    <w:rsid w:val="00F356C3"/>
    <w:rsid w:val="00F3678E"/>
    <w:rsid w:val="00F3715E"/>
    <w:rsid w:val="00F3778E"/>
    <w:rsid w:val="00F40754"/>
    <w:rsid w:val="00F418D5"/>
    <w:rsid w:val="00F41F4A"/>
    <w:rsid w:val="00F4204C"/>
    <w:rsid w:val="00F4230A"/>
    <w:rsid w:val="00F4335A"/>
    <w:rsid w:val="00F434D9"/>
    <w:rsid w:val="00F44113"/>
    <w:rsid w:val="00F4485A"/>
    <w:rsid w:val="00F44894"/>
    <w:rsid w:val="00F45A20"/>
    <w:rsid w:val="00F46892"/>
    <w:rsid w:val="00F47282"/>
    <w:rsid w:val="00F47840"/>
    <w:rsid w:val="00F47B42"/>
    <w:rsid w:val="00F50489"/>
    <w:rsid w:val="00F50819"/>
    <w:rsid w:val="00F50B19"/>
    <w:rsid w:val="00F51117"/>
    <w:rsid w:val="00F5195B"/>
    <w:rsid w:val="00F52315"/>
    <w:rsid w:val="00F55C51"/>
    <w:rsid w:val="00F561F1"/>
    <w:rsid w:val="00F5623D"/>
    <w:rsid w:val="00F57417"/>
    <w:rsid w:val="00F57D7E"/>
    <w:rsid w:val="00F603EA"/>
    <w:rsid w:val="00F61533"/>
    <w:rsid w:val="00F61883"/>
    <w:rsid w:val="00F62FF6"/>
    <w:rsid w:val="00F637A2"/>
    <w:rsid w:val="00F63802"/>
    <w:rsid w:val="00F63F8C"/>
    <w:rsid w:val="00F6427E"/>
    <w:rsid w:val="00F6436E"/>
    <w:rsid w:val="00F65477"/>
    <w:rsid w:val="00F66198"/>
    <w:rsid w:val="00F66493"/>
    <w:rsid w:val="00F666AB"/>
    <w:rsid w:val="00F66D12"/>
    <w:rsid w:val="00F6742E"/>
    <w:rsid w:val="00F70814"/>
    <w:rsid w:val="00F70C10"/>
    <w:rsid w:val="00F71557"/>
    <w:rsid w:val="00F718F6"/>
    <w:rsid w:val="00F72321"/>
    <w:rsid w:val="00F7274E"/>
    <w:rsid w:val="00F72E9F"/>
    <w:rsid w:val="00F73187"/>
    <w:rsid w:val="00F7335D"/>
    <w:rsid w:val="00F7389B"/>
    <w:rsid w:val="00F7414C"/>
    <w:rsid w:val="00F74378"/>
    <w:rsid w:val="00F74380"/>
    <w:rsid w:val="00F74850"/>
    <w:rsid w:val="00F7495E"/>
    <w:rsid w:val="00F7545A"/>
    <w:rsid w:val="00F76D50"/>
    <w:rsid w:val="00F771EB"/>
    <w:rsid w:val="00F77BDE"/>
    <w:rsid w:val="00F8015F"/>
    <w:rsid w:val="00F802AD"/>
    <w:rsid w:val="00F803C9"/>
    <w:rsid w:val="00F80563"/>
    <w:rsid w:val="00F80A0E"/>
    <w:rsid w:val="00F80F25"/>
    <w:rsid w:val="00F818EC"/>
    <w:rsid w:val="00F82059"/>
    <w:rsid w:val="00F82339"/>
    <w:rsid w:val="00F8411C"/>
    <w:rsid w:val="00F845E7"/>
    <w:rsid w:val="00F8574B"/>
    <w:rsid w:val="00F85E4D"/>
    <w:rsid w:val="00F8634F"/>
    <w:rsid w:val="00F8645E"/>
    <w:rsid w:val="00F86667"/>
    <w:rsid w:val="00F86BF7"/>
    <w:rsid w:val="00F87554"/>
    <w:rsid w:val="00F87D6C"/>
    <w:rsid w:val="00F907EA"/>
    <w:rsid w:val="00F91C29"/>
    <w:rsid w:val="00F91C4F"/>
    <w:rsid w:val="00F9239D"/>
    <w:rsid w:val="00F92989"/>
    <w:rsid w:val="00F92C01"/>
    <w:rsid w:val="00F92EC8"/>
    <w:rsid w:val="00F93861"/>
    <w:rsid w:val="00F942B7"/>
    <w:rsid w:val="00F9457D"/>
    <w:rsid w:val="00F94F16"/>
    <w:rsid w:val="00F95750"/>
    <w:rsid w:val="00F96501"/>
    <w:rsid w:val="00F96AC3"/>
    <w:rsid w:val="00F97066"/>
    <w:rsid w:val="00F97B8E"/>
    <w:rsid w:val="00F97BB6"/>
    <w:rsid w:val="00FA007B"/>
    <w:rsid w:val="00FA304B"/>
    <w:rsid w:val="00FA3B42"/>
    <w:rsid w:val="00FA3CA5"/>
    <w:rsid w:val="00FA4E19"/>
    <w:rsid w:val="00FA55A3"/>
    <w:rsid w:val="00FA734F"/>
    <w:rsid w:val="00FB024B"/>
    <w:rsid w:val="00FB0ABD"/>
    <w:rsid w:val="00FB0C18"/>
    <w:rsid w:val="00FB1302"/>
    <w:rsid w:val="00FB1DBE"/>
    <w:rsid w:val="00FB1E97"/>
    <w:rsid w:val="00FB255A"/>
    <w:rsid w:val="00FB2876"/>
    <w:rsid w:val="00FB32DA"/>
    <w:rsid w:val="00FB3686"/>
    <w:rsid w:val="00FB405C"/>
    <w:rsid w:val="00FB4069"/>
    <w:rsid w:val="00FB51C9"/>
    <w:rsid w:val="00FB52DE"/>
    <w:rsid w:val="00FB67D2"/>
    <w:rsid w:val="00FB67F1"/>
    <w:rsid w:val="00FB7208"/>
    <w:rsid w:val="00FB7C63"/>
    <w:rsid w:val="00FB7CC8"/>
    <w:rsid w:val="00FC0061"/>
    <w:rsid w:val="00FC0652"/>
    <w:rsid w:val="00FC088C"/>
    <w:rsid w:val="00FC13A4"/>
    <w:rsid w:val="00FC2872"/>
    <w:rsid w:val="00FC2AF1"/>
    <w:rsid w:val="00FC2D93"/>
    <w:rsid w:val="00FC3953"/>
    <w:rsid w:val="00FC3EC3"/>
    <w:rsid w:val="00FC4252"/>
    <w:rsid w:val="00FC4760"/>
    <w:rsid w:val="00FC477F"/>
    <w:rsid w:val="00FC4795"/>
    <w:rsid w:val="00FC5055"/>
    <w:rsid w:val="00FC5DFF"/>
    <w:rsid w:val="00FC61F7"/>
    <w:rsid w:val="00FC67F9"/>
    <w:rsid w:val="00FC7D9D"/>
    <w:rsid w:val="00FD0806"/>
    <w:rsid w:val="00FD1A1D"/>
    <w:rsid w:val="00FD2564"/>
    <w:rsid w:val="00FD3F30"/>
    <w:rsid w:val="00FD43C6"/>
    <w:rsid w:val="00FD560B"/>
    <w:rsid w:val="00FD622E"/>
    <w:rsid w:val="00FD6D9B"/>
    <w:rsid w:val="00FD7140"/>
    <w:rsid w:val="00FD7904"/>
    <w:rsid w:val="00FD7BE2"/>
    <w:rsid w:val="00FE03DE"/>
    <w:rsid w:val="00FE0E39"/>
    <w:rsid w:val="00FE1137"/>
    <w:rsid w:val="00FE2EDE"/>
    <w:rsid w:val="00FE4753"/>
    <w:rsid w:val="00FE5870"/>
    <w:rsid w:val="00FE6455"/>
    <w:rsid w:val="00FE708C"/>
    <w:rsid w:val="00FE7652"/>
    <w:rsid w:val="00FF10DE"/>
    <w:rsid w:val="00FF1233"/>
    <w:rsid w:val="00FF14D1"/>
    <w:rsid w:val="00FF1BFA"/>
    <w:rsid w:val="00FF1F02"/>
    <w:rsid w:val="00FF2EA8"/>
    <w:rsid w:val="00FF3607"/>
    <w:rsid w:val="00FF4B7C"/>
    <w:rsid w:val="00FF5DBF"/>
    <w:rsid w:val="00FF5E94"/>
    <w:rsid w:val="00FF6177"/>
    <w:rsid w:val="00FF7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BD73-1DB2-4405-AF07-105E44E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5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E3E"/>
    <w:pPr>
      <w:ind w:left="720"/>
      <w:contextualSpacing/>
    </w:pPr>
  </w:style>
  <w:style w:type="paragraph" w:styleId="Kopfzeile">
    <w:name w:val="header"/>
    <w:basedOn w:val="Standard"/>
    <w:link w:val="KopfzeileZchn"/>
    <w:uiPriority w:val="99"/>
    <w:unhideWhenUsed/>
    <w:rsid w:val="00035E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E3E"/>
  </w:style>
  <w:style w:type="paragraph" w:styleId="Fuzeile">
    <w:name w:val="footer"/>
    <w:basedOn w:val="Standard"/>
    <w:link w:val="FuzeileZchn"/>
    <w:uiPriority w:val="99"/>
    <w:unhideWhenUsed/>
    <w:rsid w:val="00035E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E3E"/>
  </w:style>
  <w:style w:type="paragraph" w:styleId="Funotentext">
    <w:name w:val="footnote text"/>
    <w:basedOn w:val="Standard"/>
    <w:link w:val="FunotentextZchn"/>
    <w:uiPriority w:val="99"/>
    <w:semiHidden/>
    <w:unhideWhenUsed/>
    <w:rsid w:val="009410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10F9"/>
    <w:rPr>
      <w:sz w:val="20"/>
      <w:szCs w:val="20"/>
    </w:rPr>
  </w:style>
  <w:style w:type="character" w:styleId="Funotenzeichen">
    <w:name w:val="footnote reference"/>
    <w:basedOn w:val="Absatz-Standardschriftart"/>
    <w:uiPriority w:val="99"/>
    <w:semiHidden/>
    <w:unhideWhenUsed/>
    <w:rsid w:val="009410F9"/>
    <w:rPr>
      <w:vertAlign w:val="superscript"/>
    </w:rPr>
  </w:style>
  <w:style w:type="character" w:customStyle="1" w:styleId="tw4winPopup">
    <w:name w:val="tw4winPopup"/>
    <w:rsid w:val="007F19CB"/>
    <w:rPr>
      <w:rFonts w:ascii="Courier New" w:hAnsi="Courier New" w:cs="Courier New"/>
      <w:noProof/>
      <w:color w:val="008000"/>
    </w:rPr>
  </w:style>
  <w:style w:type="table" w:styleId="Tabellenraster">
    <w:name w:val="Table Grid"/>
    <w:basedOn w:val="NormaleTabelle"/>
    <w:uiPriority w:val="59"/>
    <w:rsid w:val="00FC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2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2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1AD8D-D7F3-4559-A2D3-A5B6BA24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9086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Meier</dc:creator>
  <cp:lastModifiedBy>jp</cp:lastModifiedBy>
  <cp:revision>2</cp:revision>
  <cp:lastPrinted>2016-09-23T08:30:00Z</cp:lastPrinted>
  <dcterms:created xsi:type="dcterms:W3CDTF">2017-05-16T09:50:00Z</dcterms:created>
  <dcterms:modified xsi:type="dcterms:W3CDTF">2017-05-16T09:50:00Z</dcterms:modified>
</cp:coreProperties>
</file>